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D7CFA" w14:textId="77777777" w:rsidR="000C0A2B" w:rsidRPr="00652DBD" w:rsidRDefault="00D20C44" w:rsidP="00240467">
      <w:pPr>
        <w:tabs>
          <w:tab w:val="left" w:pos="360"/>
        </w:tabs>
        <w:jc w:val="center"/>
        <w:rPr>
          <w:b/>
        </w:rPr>
      </w:pPr>
      <w:r>
        <w:rPr>
          <w:b/>
        </w:rPr>
        <w:t>Using l</w:t>
      </w:r>
      <w:r w:rsidR="000C0A2B">
        <w:rPr>
          <w:b/>
        </w:rPr>
        <w:t>avas of the</w:t>
      </w:r>
      <w:r w:rsidR="000C0A2B" w:rsidRPr="00652DBD">
        <w:rPr>
          <w:b/>
        </w:rPr>
        <w:t xml:space="preserve"> Central America</w:t>
      </w:r>
      <w:r w:rsidR="000C0A2B">
        <w:rPr>
          <w:b/>
        </w:rPr>
        <w:t xml:space="preserve">n </w:t>
      </w:r>
      <w:r w:rsidR="00D62A76">
        <w:rPr>
          <w:b/>
        </w:rPr>
        <w:t>volcanic a</w:t>
      </w:r>
      <w:r w:rsidR="000C0A2B">
        <w:rPr>
          <w:b/>
        </w:rPr>
        <w:t>rc</w:t>
      </w:r>
      <w:r w:rsidR="0086276C">
        <w:rPr>
          <w:b/>
        </w:rPr>
        <w:t xml:space="preserve"> </w:t>
      </w:r>
      <w:r w:rsidR="00E33A58">
        <w:rPr>
          <w:b/>
        </w:rPr>
        <w:t xml:space="preserve">(CAVA) </w:t>
      </w:r>
      <w:r>
        <w:rPr>
          <w:b/>
        </w:rPr>
        <w:t>to teach</w:t>
      </w:r>
      <w:r w:rsidR="0086276C">
        <w:rPr>
          <w:b/>
        </w:rPr>
        <w:t xml:space="preserve"> abo</w:t>
      </w:r>
      <w:r>
        <w:rPr>
          <w:b/>
        </w:rPr>
        <w:t>ut petrogenesis of igneous rocks in subduction zones</w:t>
      </w:r>
    </w:p>
    <w:p w14:paraId="4E802F07" w14:textId="77777777" w:rsidR="000C0A2B" w:rsidRDefault="000C0A2B" w:rsidP="00240467">
      <w:pPr>
        <w:tabs>
          <w:tab w:val="left" w:pos="360"/>
        </w:tabs>
      </w:pPr>
    </w:p>
    <w:p w14:paraId="26990B53" w14:textId="77777777" w:rsidR="000C0A2B" w:rsidRDefault="00D772E2" w:rsidP="00240467">
      <w:pPr>
        <w:tabs>
          <w:tab w:val="left" w:pos="360"/>
        </w:tabs>
        <w:rPr>
          <w:b/>
        </w:rPr>
      </w:pPr>
      <w:r>
        <w:rPr>
          <w:b/>
        </w:rPr>
        <w:t>INTRODUCTION</w:t>
      </w:r>
    </w:p>
    <w:p w14:paraId="58543955" w14:textId="77777777" w:rsidR="00D772E2" w:rsidRPr="008B1F61" w:rsidRDefault="00D772E2" w:rsidP="00240467">
      <w:pPr>
        <w:tabs>
          <w:tab w:val="left" w:pos="360"/>
        </w:tabs>
        <w:rPr>
          <w:b/>
        </w:rPr>
      </w:pPr>
    </w:p>
    <w:p w14:paraId="322844FA" w14:textId="77777777" w:rsidR="000C0A2B" w:rsidRDefault="000C0A2B" w:rsidP="00240467">
      <w:pPr>
        <w:tabs>
          <w:tab w:val="left" w:pos="360"/>
        </w:tabs>
        <w:ind w:firstLine="360"/>
        <w:rPr>
          <w:rFonts w:ascii="Times" w:hAnsi="Times"/>
        </w:rPr>
      </w:pPr>
      <w:r>
        <w:t xml:space="preserve">It is challenging to understand the processes that form arc lavas, because these processes and their products - the rocks - vary over so many scales.  The subduction zone associated with any convergent plate margin extends hundreds of kilometers into Earth’s interior and the overlying arc-trench system that it engenders can be traced for hundreds to thousands of km along strike. </w:t>
      </w:r>
      <w:r w:rsidRPr="00A42C19">
        <w:rPr>
          <w:rFonts w:ascii="Times" w:hAnsi="Times" w:cs="Verdana"/>
        </w:rPr>
        <w:t xml:space="preserve">Subduction </w:t>
      </w:r>
      <w:r>
        <w:rPr>
          <w:rFonts w:ascii="Times" w:hAnsi="Times" w:cs="Verdana"/>
        </w:rPr>
        <w:t xml:space="preserve">is responsible for some of most dangerous natural hazards: </w:t>
      </w:r>
      <w:r w:rsidRPr="00A42C19">
        <w:rPr>
          <w:rFonts w:ascii="Times" w:hAnsi="Times" w:cs="Verdana"/>
        </w:rPr>
        <w:t>earthquakes, tsunamis and explosive volcanis</w:t>
      </w:r>
      <w:r>
        <w:rPr>
          <w:rFonts w:ascii="Times" w:hAnsi="Times" w:cs="Verdana"/>
        </w:rPr>
        <w:t xml:space="preserve">m. Subduction </w:t>
      </w:r>
      <w:r w:rsidR="00FA3C2E">
        <w:rPr>
          <w:rFonts w:ascii="Times" w:hAnsi="Times" w:cs="Verdana"/>
        </w:rPr>
        <w:t xml:space="preserve">zone magmatism </w:t>
      </w:r>
      <w:r>
        <w:rPr>
          <w:rFonts w:ascii="Times" w:hAnsi="Times" w:cs="Verdana"/>
        </w:rPr>
        <w:t xml:space="preserve">also benefits </w:t>
      </w:r>
      <w:r w:rsidR="00FA3C2E">
        <w:rPr>
          <w:rFonts w:ascii="Times" w:hAnsi="Times" w:cs="Verdana"/>
        </w:rPr>
        <w:t>humanity</w:t>
      </w:r>
      <w:r>
        <w:rPr>
          <w:rFonts w:ascii="Times" w:hAnsi="Times" w:cs="Verdana"/>
        </w:rPr>
        <w:t xml:space="preserve"> by producing ore deposits and </w:t>
      </w:r>
      <w:r w:rsidRPr="00A42C19">
        <w:rPr>
          <w:rFonts w:ascii="Times" w:hAnsi="Times" w:cs="Verdana"/>
        </w:rPr>
        <w:t>geothermal energ</w:t>
      </w:r>
      <w:r>
        <w:rPr>
          <w:rFonts w:ascii="Times" w:hAnsi="Times" w:cs="Verdana"/>
        </w:rPr>
        <w:t>y</w:t>
      </w:r>
      <w:r w:rsidRPr="00A42C19">
        <w:rPr>
          <w:rFonts w:ascii="Times" w:hAnsi="Times" w:cs="Verdana"/>
        </w:rPr>
        <w:t xml:space="preserve">. </w:t>
      </w:r>
      <w:r w:rsidR="00FA3C2E">
        <w:rPr>
          <w:rFonts w:ascii="Times" w:hAnsi="Times" w:cs="Verdana"/>
        </w:rPr>
        <w:t>Even though subduction has been recognized as a central part of plate tectonics for almost fifty years, w</w:t>
      </w:r>
      <w:r>
        <w:t xml:space="preserve">e </w:t>
      </w:r>
      <w:r w:rsidR="00FA3C2E">
        <w:t xml:space="preserve">still </w:t>
      </w:r>
      <w:r>
        <w:t xml:space="preserve">have much to learn about the operation of this gigantic solid Earth system, which we also call the “Subduction </w:t>
      </w:r>
      <w:r w:rsidRPr="00A42C19">
        <w:rPr>
          <w:rFonts w:ascii="Times" w:hAnsi="Times"/>
        </w:rPr>
        <w:t>Factory”</w:t>
      </w:r>
      <w:r w:rsidR="0086276C">
        <w:rPr>
          <w:rFonts w:ascii="Times" w:hAnsi="Times"/>
        </w:rPr>
        <w:t xml:space="preserve"> (Fig. 1)</w:t>
      </w:r>
      <w:r w:rsidRPr="00A42C19">
        <w:rPr>
          <w:rFonts w:ascii="Times" w:hAnsi="Times"/>
        </w:rPr>
        <w:t xml:space="preserve">. </w:t>
      </w:r>
      <w:r w:rsidRPr="00A42C19">
        <w:rPr>
          <w:rFonts w:ascii="Times" w:hAnsi="Times" w:cs="Verdana"/>
        </w:rPr>
        <w:t xml:space="preserve">The Subduction Factory recycles raw materials from the </w:t>
      </w:r>
      <w:r>
        <w:rPr>
          <w:rFonts w:ascii="Times" w:hAnsi="Times" w:cs="Verdana"/>
        </w:rPr>
        <w:t xml:space="preserve">seafloor and underlying mantle to create distinctive melts, which ultimately make up the continental crust </w:t>
      </w:r>
      <w:r w:rsidR="00FA3C2E">
        <w:rPr>
          <w:rFonts w:ascii="Times" w:hAnsi="Times" w:cs="Verdana"/>
        </w:rPr>
        <w:t>where</w:t>
      </w:r>
      <w:r>
        <w:rPr>
          <w:rFonts w:ascii="Times" w:hAnsi="Times" w:cs="Verdana"/>
        </w:rPr>
        <w:t xml:space="preserve"> most o</w:t>
      </w:r>
      <w:r w:rsidR="00FA3C2E">
        <w:rPr>
          <w:rFonts w:ascii="Times" w:hAnsi="Times" w:cs="Verdana"/>
        </w:rPr>
        <w:t>f us live</w:t>
      </w:r>
      <w:r w:rsidRPr="00A42C19">
        <w:rPr>
          <w:rFonts w:ascii="Times" w:hAnsi="Times" w:cs="Verdana"/>
        </w:rPr>
        <w:t xml:space="preserve">. </w:t>
      </w:r>
      <w:r w:rsidRPr="00A42C19">
        <w:rPr>
          <w:rFonts w:ascii="Times" w:hAnsi="Times"/>
        </w:rPr>
        <w:t xml:space="preserve"> </w:t>
      </w:r>
      <w:r>
        <w:rPr>
          <w:rFonts w:ascii="Times" w:hAnsi="Times"/>
        </w:rPr>
        <w:t xml:space="preserve"> The huge extent and deeply buried nature of the global Subduction Factory makes it very difficult to study, </w:t>
      </w:r>
      <w:r w:rsidR="00FA3C2E">
        <w:rPr>
          <w:rFonts w:ascii="Times" w:hAnsi="Times"/>
        </w:rPr>
        <w:t>so most large-scale research projects focused on subduction processes such as MARGINS and GeoPRIMS involve</w:t>
      </w:r>
      <w:r>
        <w:rPr>
          <w:rFonts w:ascii="Times" w:hAnsi="Times"/>
        </w:rPr>
        <w:t xml:space="preserve"> interdisciplinary teams </w:t>
      </w:r>
      <w:r w:rsidR="00FA3C2E">
        <w:rPr>
          <w:rFonts w:ascii="Times" w:hAnsi="Times"/>
        </w:rPr>
        <w:t xml:space="preserve">that include </w:t>
      </w:r>
      <w:r>
        <w:rPr>
          <w:rFonts w:ascii="Times" w:hAnsi="Times"/>
        </w:rPr>
        <w:t>geophysicists, geochemists, petrologists, marine geologists, volcanologists, geodynamic modelers, and experimentalists.</w:t>
      </w:r>
    </w:p>
    <w:p w14:paraId="4DEAEF28" w14:textId="77777777" w:rsidR="00BF54BE" w:rsidRDefault="00BF54BE" w:rsidP="00240467">
      <w:pPr>
        <w:tabs>
          <w:tab w:val="left" w:pos="360"/>
        </w:tabs>
        <w:ind w:firstLine="360"/>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6276C" w14:paraId="2BF243F2" w14:textId="77777777">
        <w:tc>
          <w:tcPr>
            <w:tcW w:w="8856" w:type="dxa"/>
          </w:tcPr>
          <w:p w14:paraId="48E59E2F" w14:textId="77777777" w:rsidR="0086276C" w:rsidRDefault="0086276C" w:rsidP="00240467">
            <w:pPr>
              <w:tabs>
                <w:tab w:val="left" w:pos="360"/>
              </w:tabs>
              <w:jc w:val="center"/>
              <w:rPr>
                <w:rFonts w:ascii="Times" w:hAnsi="Times"/>
              </w:rPr>
            </w:pPr>
            <w:r>
              <w:rPr>
                <w:rFonts w:ascii="Times" w:hAnsi="Times"/>
                <w:noProof/>
              </w:rPr>
              <w:drawing>
                <wp:inline distT="0" distB="0" distL="0" distR="0" wp14:anchorId="78284EC2" wp14:editId="3D625C51">
                  <wp:extent cx="3289986" cy="31864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stec_sub_factory.gif"/>
                          <pic:cNvPicPr/>
                        </pic:nvPicPr>
                        <pic:blipFill>
                          <a:blip r:embed="rId8">
                            <a:extLst>
                              <a:ext uri="{28A0092B-C50C-407E-A947-70E740481C1C}">
                                <a14:useLocalDpi xmlns:a14="http://schemas.microsoft.com/office/drawing/2010/main" val="0"/>
                              </a:ext>
                            </a:extLst>
                          </a:blip>
                          <a:stretch>
                            <a:fillRect/>
                          </a:stretch>
                        </pic:blipFill>
                        <pic:spPr>
                          <a:xfrm>
                            <a:off x="0" y="0"/>
                            <a:ext cx="3290186" cy="3186606"/>
                          </a:xfrm>
                          <a:prstGeom prst="rect">
                            <a:avLst/>
                          </a:prstGeom>
                        </pic:spPr>
                      </pic:pic>
                    </a:graphicData>
                  </a:graphic>
                </wp:inline>
              </w:drawing>
            </w:r>
          </w:p>
        </w:tc>
      </w:tr>
      <w:tr w:rsidR="0086276C" w14:paraId="1F61A8C5" w14:textId="77777777">
        <w:tc>
          <w:tcPr>
            <w:tcW w:w="8856" w:type="dxa"/>
          </w:tcPr>
          <w:p w14:paraId="082570B6" w14:textId="30E066B0" w:rsidR="0086276C" w:rsidRPr="009809DB" w:rsidRDefault="0086276C" w:rsidP="00240467">
            <w:pPr>
              <w:tabs>
                <w:tab w:val="left" w:pos="360"/>
              </w:tabs>
              <w:jc w:val="center"/>
              <w:rPr>
                <w:rFonts w:ascii="Times" w:hAnsi="Times"/>
              </w:rPr>
            </w:pPr>
            <w:r w:rsidRPr="00E32D83">
              <w:rPr>
                <w:rFonts w:ascii="Times" w:hAnsi="Times"/>
                <w:i/>
              </w:rPr>
              <w:t xml:space="preserve">Figure 1. </w:t>
            </w:r>
            <w:r w:rsidR="00E32D83">
              <w:rPr>
                <w:rFonts w:ascii="Times" w:hAnsi="Times"/>
                <w:i/>
              </w:rPr>
              <w:t>Diagrammatic representation of major processes and products of t</w:t>
            </w:r>
            <w:r w:rsidRPr="00E32D83">
              <w:rPr>
                <w:rFonts w:ascii="Times" w:hAnsi="Times"/>
                <w:i/>
              </w:rPr>
              <w:t>he Subduction Factory</w:t>
            </w:r>
            <w:r w:rsidR="00BF54BE" w:rsidRPr="00E32D83">
              <w:rPr>
                <w:rFonts w:ascii="Times" w:hAnsi="Times"/>
                <w:i/>
              </w:rPr>
              <w:t xml:space="preserve"> [http://www.jamstec.go.jp/jamstec-e/IFREE/ifree2/ifree2image/fig2_e.gif].</w:t>
            </w:r>
            <w:r w:rsidR="009809DB">
              <w:rPr>
                <w:rFonts w:ascii="Times" w:hAnsi="Times"/>
                <w:i/>
              </w:rPr>
              <w:t xml:space="preserve"> Courtesy of Y. Tatsumi, JAMSTEC</w:t>
            </w:r>
          </w:p>
        </w:tc>
      </w:tr>
    </w:tbl>
    <w:p w14:paraId="00945F51" w14:textId="77777777" w:rsidR="001379F2" w:rsidRDefault="001379F2" w:rsidP="00240467">
      <w:pPr>
        <w:tabs>
          <w:tab w:val="left" w:pos="360"/>
        </w:tabs>
        <w:ind w:firstLine="720"/>
      </w:pPr>
    </w:p>
    <w:p w14:paraId="5719606B" w14:textId="77777777" w:rsidR="00BF54BE" w:rsidRDefault="000C0A2B" w:rsidP="00240467">
      <w:pPr>
        <w:tabs>
          <w:tab w:val="left" w:pos="360"/>
        </w:tabs>
        <w:ind w:firstLine="360"/>
      </w:pPr>
      <w:r>
        <w:lastRenderedPageBreak/>
        <w:t xml:space="preserve">Igneous rocks are one of the most important products of the Subduction Factory, and include extrusive (volcanic) and intrusive (plutonic) varieties.  Arc igneous rocks are compositionally more diverse than igneous rocks produced at </w:t>
      </w:r>
      <w:r w:rsidR="00BF54BE">
        <w:t xml:space="preserve">most </w:t>
      </w:r>
      <w:r>
        <w:t>other tectonic settings</w:t>
      </w:r>
      <w:r w:rsidR="00AA3364">
        <w:t>, with the possible exception of continental rifts (Fig. 2)</w:t>
      </w:r>
      <w:r>
        <w:t>. For example, mid-ocean ridges erupt pillow basalt</w:t>
      </w:r>
      <w:r w:rsidR="00FA3C2E">
        <w:t>s</w:t>
      </w:r>
      <w:r>
        <w:t xml:space="preserve"> on the seafloor</w:t>
      </w:r>
      <w:r w:rsidR="00FA3C2E">
        <w:t xml:space="preserve"> that</w:t>
      </w:r>
      <w:r>
        <w:t xml:space="preserve"> are underlain by diabase dikes </w:t>
      </w:r>
      <w:r w:rsidR="00FA3C2E">
        <w:t>that</w:t>
      </w:r>
      <w:r>
        <w:t xml:space="preserve"> are further underlain by gabbro</w:t>
      </w:r>
      <w:r w:rsidR="00FA3C2E">
        <w:t>s</w:t>
      </w:r>
      <w:r>
        <w:t>. Basalt, diabase, and gabbro are textural variations of the same mafic magma, caused by fast cooling to yield small or no crystals (basalt)</w:t>
      </w:r>
      <w:r w:rsidR="00AA3364">
        <w:t>, moderate cooling to produce medium-size crystals (diabase),</w:t>
      </w:r>
      <w:r>
        <w:t xml:space="preserve"> or slow cooling to form large crystals (gabbro).  The bulk composition of these three rocks </w:t>
      </w:r>
      <w:r w:rsidR="00FA3C2E">
        <w:t>is</w:t>
      </w:r>
      <w:r>
        <w:t xml:space="preserve"> not much different, mostly reflecting the composition of partially melted shallow mantle.  This </w:t>
      </w:r>
      <w:r w:rsidR="00BF54BE">
        <w:t xml:space="preserve">is </w:t>
      </w:r>
      <w:r>
        <w:t xml:space="preserve">also </w:t>
      </w:r>
      <w:r w:rsidR="00BF54BE">
        <w:t xml:space="preserve">true for </w:t>
      </w:r>
      <w:r>
        <w:t xml:space="preserve">the composition of most hotspot igneous rocks (Fig. </w:t>
      </w:r>
      <w:r w:rsidR="00BF54BE">
        <w:t>2</w:t>
      </w:r>
      <w:r>
        <w:t>). In contrast, the chemical composition</w:t>
      </w:r>
      <w:r w:rsidR="00BF54BE">
        <w:t>s</w:t>
      </w:r>
      <w:r>
        <w:t xml:space="preserve"> of arc magmas show much larger variations, most importantly with regard to the </w:t>
      </w:r>
      <w:r w:rsidR="00AA3364">
        <w:t>concentration</w:t>
      </w:r>
      <w:r>
        <w:t xml:space="preserve"> of silicon dioxide (</w:t>
      </w:r>
      <w:r w:rsidR="00AA3364">
        <w:t xml:space="preserve">given as weight percent </w:t>
      </w:r>
      <w:r>
        <w:t>SiO</w:t>
      </w:r>
      <w:r w:rsidRPr="007827CF">
        <w:rPr>
          <w:vertAlign w:val="subscript"/>
        </w:rPr>
        <w:t>2</w:t>
      </w:r>
      <w:r>
        <w:t xml:space="preserve">). </w:t>
      </w:r>
      <w:r w:rsidR="00BF54BE">
        <w:t>While mafic rocks like b</w:t>
      </w:r>
      <w:r>
        <w:t>asalts are also common in arcs</w:t>
      </w:r>
      <w:r w:rsidR="00BF54BE">
        <w:t xml:space="preserve">, intermediate (e.g. andesite) and felsic (e.g. rhyolite) rocks </w:t>
      </w:r>
      <w:r>
        <w:t xml:space="preserve">that contain more silica </w:t>
      </w:r>
      <w:r w:rsidR="00BF54BE">
        <w:t xml:space="preserve">are volumetrically the fundamental constituents of most arcs </w:t>
      </w:r>
      <w:r>
        <w:t xml:space="preserve">(Fig. </w:t>
      </w:r>
      <w:r w:rsidR="00BF54BE">
        <w:t>2</w:t>
      </w:r>
      <w:r>
        <w:t xml:space="preserve">).  </w:t>
      </w:r>
    </w:p>
    <w:p w14:paraId="0394D958" w14:textId="77777777" w:rsidR="00BF54BE" w:rsidRDefault="00BF54BE" w:rsidP="00240467">
      <w:pPr>
        <w:tabs>
          <w:tab w:val="left" w:pos="360"/>
        </w:tabs>
        <w:ind w:firstLine="720"/>
      </w:pPr>
    </w:p>
    <w:p w14:paraId="0062B633" w14:textId="77777777" w:rsidR="000C0A2B" w:rsidRDefault="000C0A2B" w:rsidP="00240467">
      <w:pPr>
        <w:tabs>
          <w:tab w:val="left" w:pos="360"/>
        </w:tabs>
        <w:ind w:firstLine="360"/>
      </w:pPr>
      <w:r>
        <w:t xml:space="preserve">In this exercise we will examine the </w:t>
      </w:r>
      <w:r w:rsidR="00807CE9">
        <w:t>petrology</w:t>
      </w:r>
      <w:r>
        <w:t xml:space="preserve"> of arc lavas</w:t>
      </w:r>
      <w:r w:rsidR="00E32D83">
        <w:t xml:space="preserve"> from two </w:t>
      </w:r>
      <w:r>
        <w:t xml:space="preserve">well-studied </w:t>
      </w:r>
      <w:r w:rsidR="00E32D83">
        <w:t>volcanoes in</w:t>
      </w:r>
      <w:r>
        <w:t xml:space="preserve"> Central America as our natural laboratory</w:t>
      </w:r>
      <w:r w:rsidR="00E32D83">
        <w:t>: Cerro Negro in Nicaragua (Fig. 3a), and Ilopango in El Salvador (Fig. 3b)</w:t>
      </w:r>
      <w:r w:rsidR="00BF54BE">
        <w:t>. Initially w</w:t>
      </w:r>
      <w:r>
        <w:t xml:space="preserve">e </w:t>
      </w:r>
      <w:r w:rsidR="00BF54BE">
        <w:t xml:space="preserve">will </w:t>
      </w:r>
      <w:r>
        <w:t>focus on representative lavas from representative volcanoes of a representative convergent margin magmatic</w:t>
      </w:r>
      <w:r w:rsidR="00FB5BBF">
        <w:t xml:space="preserve"> system – the Central American volcanic a</w:t>
      </w:r>
      <w:r>
        <w:t xml:space="preserve">rc (CAVA) </w:t>
      </w:r>
      <w:r w:rsidR="00BF54BE">
        <w:t xml:space="preserve">- </w:t>
      </w:r>
      <w:r>
        <w:t xml:space="preserve">to </w:t>
      </w:r>
      <w:r w:rsidR="00BF54BE">
        <w:t xml:space="preserve">explore the </w:t>
      </w:r>
      <w:r w:rsidR="006967B5">
        <w:t xml:space="preserve">processes that can produce the wide range of rock types typical of volcanic arcs. </w:t>
      </w:r>
      <w:r>
        <w:t xml:space="preserve">You will first get familiar with some representative CAVA lavas.  You will learn about </w:t>
      </w:r>
      <w:r w:rsidR="00BF54BE">
        <w:t xml:space="preserve">the </w:t>
      </w:r>
      <w:r>
        <w:t xml:space="preserve">location and tectonic setting of CAVA and a little about the nations of the region.  Then you will </w:t>
      </w:r>
      <w:r w:rsidR="00E32D83">
        <w:t>explore two</w:t>
      </w:r>
      <w:r>
        <w:t xml:space="preserve"> examples of individual volcanoes and their lavas, beginning with the basaltic lavas of Cerro Negro in Nicaragua</w:t>
      </w:r>
      <w:r w:rsidR="00E33A58">
        <w:t xml:space="preserve"> (Fig. 3A)</w:t>
      </w:r>
      <w:r>
        <w:t xml:space="preserve">.  </w:t>
      </w:r>
      <w:r w:rsidR="00E32D83">
        <w:t>Cerro Negro is</w:t>
      </w:r>
      <w:r>
        <w:t xml:space="preserve"> r</w:t>
      </w:r>
      <w:r w:rsidR="00E32D83">
        <w:t>elatively small, young volcano</w:t>
      </w:r>
      <w:r>
        <w:t xml:space="preserve">, </w:t>
      </w:r>
      <w:r w:rsidR="006967B5">
        <w:t xml:space="preserve">which </w:t>
      </w:r>
      <w:r w:rsidR="00E32D83">
        <w:t>is a</w:t>
      </w:r>
      <w:r w:rsidR="006967B5">
        <w:t xml:space="preserve"> </w:t>
      </w:r>
      <w:r w:rsidR="00E32D83">
        <w:t>surface expression</w:t>
      </w:r>
      <w:r>
        <w:t xml:space="preserve"> of </w:t>
      </w:r>
      <w:r w:rsidR="00E32D83">
        <w:t xml:space="preserve">an </w:t>
      </w:r>
      <w:r>
        <w:t>immature magmatic sy</w:t>
      </w:r>
      <w:r w:rsidR="00E32D83">
        <w:t>stem</w:t>
      </w:r>
      <w:r>
        <w:t xml:space="preserve"> where mantle-derived magmas arrive at the surface without much modification in the crust.  </w:t>
      </w:r>
      <w:r w:rsidR="00E32D83">
        <w:t>Next</w:t>
      </w:r>
      <w:r>
        <w:t xml:space="preserve"> you will learn about Ilopango in El Salvador, an old, broad volcano with a well-developed caldera that has erupted large volumes of felsic tephra</w:t>
      </w:r>
      <w:r w:rsidR="00E33A58">
        <w:t xml:space="preserve"> and smaller lava domes (Fig. 3B)</w:t>
      </w:r>
      <w:r>
        <w:t xml:space="preserve">.  Ilopango felsic magma </w:t>
      </w:r>
      <w:r w:rsidR="00E32D83">
        <w:t>is produced in</w:t>
      </w:r>
      <w:r>
        <w:t xml:space="preserve"> a mature magmatic system where mantle-derived magmas stalled in the crust long enough to produce felsic magmas either by crystal fractionation or by melting the surrounding crust.  The </w:t>
      </w:r>
      <w:r w:rsidR="00BF54BE">
        <w:t xml:space="preserve">genetic relationship </w:t>
      </w:r>
      <w:r w:rsidR="00331CDC">
        <w:t>between</w:t>
      </w:r>
      <w:r>
        <w:t xml:space="preserve"> mantle-derived melts (basalts in Fig.</w:t>
      </w:r>
      <w:r w:rsidR="00BF54BE">
        <w:t xml:space="preserve"> 2</w:t>
      </w:r>
      <w:r>
        <w:t xml:space="preserve">) </w:t>
      </w:r>
      <w:r w:rsidR="00331CDC">
        <w:t>and</w:t>
      </w:r>
      <w:r>
        <w:t xml:space="preserve"> melts </w:t>
      </w:r>
      <w:r w:rsidR="00331CDC">
        <w:t>similar in composition to</w:t>
      </w:r>
      <w:r>
        <w:t xml:space="preserve"> the continental crust (</w:t>
      </w:r>
      <w:r w:rsidR="00E32D83">
        <w:t>dacite/</w:t>
      </w:r>
      <w:r>
        <w:t xml:space="preserve">granodiorite and </w:t>
      </w:r>
      <w:r w:rsidR="00E32D83">
        <w:t>rhyolite/</w:t>
      </w:r>
      <w:r>
        <w:t xml:space="preserve">granite in Fig. </w:t>
      </w:r>
      <w:r w:rsidR="00BF54BE">
        <w:t>2</w:t>
      </w:r>
      <w:r>
        <w:t xml:space="preserve">) is one of the fundamental questions that scientists are still trying to answer.  We will use the different lavas of these volcanoes to explore the relationship between the physical appearance of lavas – particularly their modal mineralogy, or </w:t>
      </w:r>
      <w:r w:rsidRPr="002D4698">
        <w:rPr>
          <w:i/>
        </w:rPr>
        <w:t>mode</w:t>
      </w:r>
      <w:r>
        <w:t xml:space="preserve"> – with the chemical composition of these lavas as expressed by major element compositions and the ideal mineralogy calculated from this composition – their normative mineralogy or </w:t>
      </w:r>
      <w:r w:rsidRPr="002D4698">
        <w:rPr>
          <w:i/>
        </w:rPr>
        <w:t>norm</w:t>
      </w:r>
      <w:r>
        <w:t>.</w:t>
      </w:r>
    </w:p>
    <w:p w14:paraId="65F482F7" w14:textId="77777777" w:rsidR="000C0A2B" w:rsidRDefault="000C0A2B" w:rsidP="00240467">
      <w:pPr>
        <w:tabs>
          <w:tab w:val="left" w:pos="360"/>
        </w:tabs>
      </w:pPr>
    </w:p>
    <w:p w14:paraId="70511FA9" w14:textId="77777777" w:rsidR="000C0A2B" w:rsidRDefault="00E32D83" w:rsidP="00240467">
      <w:pPr>
        <w:tabs>
          <w:tab w:val="left" w:pos="360"/>
        </w:tabs>
      </w:pPr>
      <w:r>
        <w:rPr>
          <w:noProof/>
        </w:rPr>
        <w:drawing>
          <wp:inline distT="0" distB="0" distL="0" distR="0" wp14:anchorId="017C6260" wp14:editId="1BD6B347">
            <wp:extent cx="5307356" cy="3573350"/>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tonicTASV2.jpg"/>
                    <pic:cNvPicPr/>
                  </pic:nvPicPr>
                  <pic:blipFill>
                    <a:blip r:embed="rId9">
                      <a:extLst>
                        <a:ext uri="{28A0092B-C50C-407E-A947-70E740481C1C}">
                          <a14:useLocalDpi xmlns:a14="http://schemas.microsoft.com/office/drawing/2010/main" val="0"/>
                        </a:ext>
                      </a:extLst>
                    </a:blip>
                    <a:stretch>
                      <a:fillRect/>
                    </a:stretch>
                  </pic:blipFill>
                  <pic:spPr>
                    <a:xfrm>
                      <a:off x="0" y="0"/>
                      <a:ext cx="5308108" cy="3573856"/>
                    </a:xfrm>
                    <a:prstGeom prst="rect">
                      <a:avLst/>
                    </a:prstGeom>
                  </pic:spPr>
                </pic:pic>
              </a:graphicData>
            </a:graphic>
          </wp:inline>
        </w:drawing>
      </w:r>
    </w:p>
    <w:p w14:paraId="73388E21" w14:textId="77777777" w:rsidR="00ED470C" w:rsidRDefault="000C0A2B" w:rsidP="00240467">
      <w:pPr>
        <w:tabs>
          <w:tab w:val="left" w:pos="360"/>
        </w:tabs>
      </w:pPr>
      <w:r w:rsidRPr="005B62F4">
        <w:rPr>
          <w:i/>
          <w:sz w:val="22"/>
          <w:szCs w:val="22"/>
        </w:rPr>
        <w:t>Fig</w:t>
      </w:r>
      <w:r w:rsidR="00E32D83">
        <w:rPr>
          <w:i/>
          <w:sz w:val="22"/>
          <w:szCs w:val="22"/>
        </w:rPr>
        <w:t>ure</w:t>
      </w:r>
      <w:r w:rsidRPr="005B62F4">
        <w:rPr>
          <w:i/>
          <w:sz w:val="22"/>
          <w:szCs w:val="22"/>
        </w:rPr>
        <w:t xml:space="preserve"> </w:t>
      </w:r>
      <w:r w:rsidR="00E32D83">
        <w:rPr>
          <w:i/>
          <w:sz w:val="22"/>
          <w:szCs w:val="22"/>
        </w:rPr>
        <w:t>2</w:t>
      </w:r>
      <w:r w:rsidRPr="005B62F4">
        <w:rPr>
          <w:i/>
          <w:sz w:val="22"/>
          <w:szCs w:val="22"/>
        </w:rPr>
        <w:t xml:space="preserve">: </w:t>
      </w:r>
      <w:r w:rsidRPr="00FD3D88">
        <w:rPr>
          <w:i/>
          <w:sz w:val="22"/>
          <w:szCs w:val="22"/>
        </w:rPr>
        <w:t xml:space="preserve">A portion of the “Total alkalies – silica” (TAS) diagram showing typical </w:t>
      </w:r>
      <w:r>
        <w:rPr>
          <w:i/>
          <w:sz w:val="22"/>
          <w:szCs w:val="22"/>
        </w:rPr>
        <w:t>compositional ranges for</w:t>
      </w:r>
      <w:r w:rsidRPr="00FD3D88">
        <w:rPr>
          <w:i/>
          <w:sz w:val="22"/>
          <w:szCs w:val="22"/>
        </w:rPr>
        <w:t xml:space="preserve"> igneous rocks from the </w:t>
      </w:r>
      <w:r w:rsidR="00E32D83">
        <w:rPr>
          <w:i/>
          <w:sz w:val="22"/>
          <w:szCs w:val="22"/>
        </w:rPr>
        <w:t>four</w:t>
      </w:r>
      <w:r w:rsidRPr="00FD3D88">
        <w:rPr>
          <w:i/>
          <w:sz w:val="22"/>
          <w:szCs w:val="22"/>
        </w:rPr>
        <w:t xml:space="preserve"> great petrotectonic environments: mid-ocean</w:t>
      </w:r>
      <w:r>
        <w:rPr>
          <w:i/>
          <w:sz w:val="22"/>
          <w:szCs w:val="22"/>
        </w:rPr>
        <w:t xml:space="preserve"> spreading ridges (MORB); hotspots</w:t>
      </w:r>
      <w:r w:rsidRPr="00FD3D88">
        <w:rPr>
          <w:i/>
          <w:sz w:val="22"/>
          <w:szCs w:val="22"/>
        </w:rPr>
        <w:t>,</w:t>
      </w:r>
      <w:r w:rsidR="00E32D83">
        <w:rPr>
          <w:i/>
          <w:sz w:val="22"/>
          <w:szCs w:val="22"/>
        </w:rPr>
        <w:t xml:space="preserve"> continental rifts,</w:t>
      </w:r>
      <w:r w:rsidRPr="00FD3D88">
        <w:rPr>
          <w:i/>
          <w:sz w:val="22"/>
          <w:szCs w:val="22"/>
        </w:rPr>
        <w:t xml:space="preserve"> and convergent plate margins (arcs).  Both volcanic and plutonic (italics) </w:t>
      </w:r>
      <w:r w:rsidR="00E32D83">
        <w:rPr>
          <w:i/>
          <w:sz w:val="22"/>
          <w:szCs w:val="22"/>
        </w:rPr>
        <w:t xml:space="preserve">rock names </w:t>
      </w:r>
      <w:r w:rsidRPr="00FD3D88">
        <w:rPr>
          <w:i/>
          <w:sz w:val="22"/>
          <w:szCs w:val="22"/>
        </w:rPr>
        <w:t>are given</w:t>
      </w:r>
      <w:r w:rsidR="00E32D83">
        <w:rPr>
          <w:i/>
          <w:sz w:val="22"/>
          <w:szCs w:val="22"/>
        </w:rPr>
        <w:t xml:space="preserve"> (modified from</w:t>
      </w:r>
      <w:r w:rsidRPr="00FD3D88">
        <w:rPr>
          <w:i/>
          <w:sz w:val="22"/>
          <w:szCs w:val="22"/>
        </w:rPr>
        <w:t xml:space="preserve"> </w:t>
      </w:r>
      <w:r w:rsidR="00E32D83">
        <w:rPr>
          <w:i/>
          <w:sz w:val="22"/>
          <w:szCs w:val="22"/>
        </w:rPr>
        <w:t xml:space="preserve">LeMaitre et al., </w:t>
      </w:r>
      <w:r>
        <w:rPr>
          <w:i/>
          <w:sz w:val="22"/>
          <w:szCs w:val="22"/>
        </w:rPr>
        <w:t>2002).</w:t>
      </w:r>
      <w:r>
        <w:tab/>
      </w:r>
    </w:p>
    <w:p w14:paraId="5BB16C04" w14:textId="77777777" w:rsidR="00ED470C" w:rsidRDefault="00ED470C" w:rsidP="00240467">
      <w:pPr>
        <w:tabs>
          <w:tab w:val="left" w:pos="360"/>
        </w:tabs>
      </w:pPr>
    </w:p>
    <w:p w14:paraId="4089C22D" w14:textId="77777777" w:rsidR="000C0A2B" w:rsidRDefault="000C0A2B" w:rsidP="00240467">
      <w:pPr>
        <w:tabs>
          <w:tab w:val="left" w:pos="360"/>
        </w:tabs>
      </w:pPr>
      <w:r>
        <w:t xml:space="preserve"> </w:t>
      </w:r>
    </w:p>
    <w:p w14:paraId="7FEB0153" w14:textId="77777777" w:rsidR="000C0A2B" w:rsidRDefault="000C0A2B" w:rsidP="00240467">
      <w:pPr>
        <w:tabs>
          <w:tab w:val="left" w:pos="360"/>
        </w:tabs>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E16D3" w14:paraId="537A78DC" w14:textId="77777777">
        <w:tc>
          <w:tcPr>
            <w:tcW w:w="4608" w:type="dxa"/>
          </w:tcPr>
          <w:p w14:paraId="759ECA34" w14:textId="77777777" w:rsidR="00DE16D3" w:rsidRDefault="00ED470C" w:rsidP="00240467">
            <w:pPr>
              <w:tabs>
                <w:tab w:val="left" w:pos="360"/>
              </w:tabs>
              <w:rPr>
                <w:b/>
              </w:rPr>
            </w:pPr>
            <w:r>
              <w:rPr>
                <w:b/>
                <w:noProof/>
              </w:rPr>
              <w:drawing>
                <wp:inline distT="0" distB="0" distL="0" distR="0" wp14:anchorId="16A85954" wp14:editId="5377A2C6">
                  <wp:extent cx="2817586" cy="187995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017.jpg"/>
                          <pic:cNvPicPr/>
                        </pic:nvPicPr>
                        <pic:blipFill>
                          <a:blip r:embed="rId10">
                            <a:extLst>
                              <a:ext uri="{28A0092B-C50C-407E-A947-70E740481C1C}">
                                <a14:useLocalDpi xmlns:a14="http://schemas.microsoft.com/office/drawing/2010/main" val="0"/>
                              </a:ext>
                            </a:extLst>
                          </a:blip>
                          <a:stretch>
                            <a:fillRect/>
                          </a:stretch>
                        </pic:blipFill>
                        <pic:spPr>
                          <a:xfrm>
                            <a:off x="0" y="0"/>
                            <a:ext cx="2818399" cy="1880498"/>
                          </a:xfrm>
                          <a:prstGeom prst="rect">
                            <a:avLst/>
                          </a:prstGeom>
                        </pic:spPr>
                      </pic:pic>
                    </a:graphicData>
                  </a:graphic>
                </wp:inline>
              </w:drawing>
            </w:r>
          </w:p>
        </w:tc>
        <w:tc>
          <w:tcPr>
            <w:tcW w:w="4608" w:type="dxa"/>
          </w:tcPr>
          <w:p w14:paraId="67C0333C" w14:textId="77777777" w:rsidR="00DE16D3" w:rsidRDefault="00DE16D3" w:rsidP="00240467">
            <w:pPr>
              <w:tabs>
                <w:tab w:val="left" w:pos="360"/>
              </w:tabs>
              <w:rPr>
                <w:b/>
              </w:rPr>
            </w:pPr>
            <w:r>
              <w:rPr>
                <w:b/>
                <w:noProof/>
              </w:rPr>
              <w:drawing>
                <wp:inline distT="0" distB="0" distL="0" distR="0" wp14:anchorId="2FAC716A" wp14:editId="0587CBD3">
                  <wp:extent cx="2808001" cy="1873561"/>
                  <wp:effectExtent l="0" t="0" r="1143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pango_caldera.jpg"/>
                          <pic:cNvPicPr/>
                        </pic:nvPicPr>
                        <pic:blipFill>
                          <a:blip r:embed="rId11">
                            <a:extLst>
                              <a:ext uri="{28A0092B-C50C-407E-A947-70E740481C1C}">
                                <a14:useLocalDpi xmlns:a14="http://schemas.microsoft.com/office/drawing/2010/main" val="0"/>
                              </a:ext>
                            </a:extLst>
                          </a:blip>
                          <a:stretch>
                            <a:fillRect/>
                          </a:stretch>
                        </pic:blipFill>
                        <pic:spPr>
                          <a:xfrm>
                            <a:off x="0" y="0"/>
                            <a:ext cx="2808447" cy="1873859"/>
                          </a:xfrm>
                          <a:prstGeom prst="rect">
                            <a:avLst/>
                          </a:prstGeom>
                        </pic:spPr>
                      </pic:pic>
                    </a:graphicData>
                  </a:graphic>
                </wp:inline>
              </w:drawing>
            </w:r>
          </w:p>
        </w:tc>
      </w:tr>
    </w:tbl>
    <w:p w14:paraId="083F13D7" w14:textId="77777777" w:rsidR="001A259E" w:rsidRDefault="00ED470C" w:rsidP="001A259E">
      <w:pPr>
        <w:tabs>
          <w:tab w:val="left" w:pos="360"/>
        </w:tabs>
        <w:rPr>
          <w:i/>
          <w:sz w:val="22"/>
          <w:szCs w:val="22"/>
        </w:rPr>
      </w:pPr>
      <w:r w:rsidRPr="005B62F4">
        <w:rPr>
          <w:i/>
          <w:sz w:val="22"/>
          <w:szCs w:val="22"/>
        </w:rPr>
        <w:t>Fig</w:t>
      </w:r>
      <w:r>
        <w:rPr>
          <w:i/>
          <w:sz w:val="22"/>
          <w:szCs w:val="22"/>
        </w:rPr>
        <w:t>ure</w:t>
      </w:r>
      <w:r w:rsidRPr="005B62F4">
        <w:rPr>
          <w:i/>
          <w:sz w:val="22"/>
          <w:szCs w:val="22"/>
        </w:rPr>
        <w:t xml:space="preserve"> </w:t>
      </w:r>
      <w:r>
        <w:rPr>
          <w:i/>
          <w:sz w:val="22"/>
          <w:szCs w:val="22"/>
        </w:rPr>
        <w:t>3</w:t>
      </w:r>
      <w:r w:rsidRPr="005B62F4">
        <w:rPr>
          <w:i/>
          <w:sz w:val="22"/>
          <w:szCs w:val="22"/>
        </w:rPr>
        <w:t xml:space="preserve">: </w:t>
      </w:r>
      <w:r>
        <w:rPr>
          <w:i/>
          <w:sz w:val="22"/>
          <w:szCs w:val="22"/>
        </w:rPr>
        <w:t xml:space="preserve">Two example volcanoes from CAVA. A. Cerro Negro volcano in Nicaragua comprises a </w:t>
      </w:r>
      <w:r w:rsidR="00D772E2">
        <w:rPr>
          <w:i/>
          <w:sz w:val="22"/>
          <w:szCs w:val="22"/>
        </w:rPr>
        <w:t xml:space="preserve">250 m high </w:t>
      </w:r>
      <w:r>
        <w:rPr>
          <w:i/>
          <w:sz w:val="22"/>
          <w:szCs w:val="22"/>
        </w:rPr>
        <w:t>cinder cone and lava flows that have all formed since its first eruption in 1850; it is Central America’s youngest volcano. B. Ilopango volcano in El Salvador comprises a lake-filled caldera that is 8 x 11 km, which is one of the largest lakes in El Salvador. While the last large eruption happened in the 5</w:t>
      </w:r>
      <w:r w:rsidRPr="00ED470C">
        <w:rPr>
          <w:i/>
          <w:sz w:val="22"/>
          <w:szCs w:val="22"/>
          <w:vertAlign w:val="superscript"/>
        </w:rPr>
        <w:t>th</w:t>
      </w:r>
      <w:r>
        <w:rPr>
          <w:i/>
          <w:sz w:val="22"/>
          <w:szCs w:val="22"/>
        </w:rPr>
        <w:t xml:space="preserve"> century A.D., small lava domes where formed beneath the lake waters as recently as 1880.</w:t>
      </w:r>
      <w:r w:rsidR="00331CDC">
        <w:rPr>
          <w:i/>
          <w:sz w:val="22"/>
          <w:szCs w:val="22"/>
        </w:rPr>
        <w:t xml:space="preserve">  Both images are courtesy of the Global Volcanism Program.</w:t>
      </w:r>
      <w:r w:rsidR="001A259E">
        <w:rPr>
          <w:i/>
          <w:sz w:val="22"/>
          <w:szCs w:val="22"/>
        </w:rPr>
        <w:t xml:space="preserve"> </w:t>
      </w:r>
    </w:p>
    <w:p w14:paraId="4FC15F9D" w14:textId="7E3B1135" w:rsidR="001A259E" w:rsidRPr="001A259E" w:rsidRDefault="001A259E" w:rsidP="001A259E">
      <w:pPr>
        <w:tabs>
          <w:tab w:val="left" w:pos="360"/>
        </w:tabs>
        <w:rPr>
          <w:i/>
          <w:sz w:val="22"/>
          <w:szCs w:val="22"/>
        </w:rPr>
      </w:pPr>
      <w:r>
        <w:rPr>
          <w:i/>
          <w:sz w:val="22"/>
          <w:szCs w:val="22"/>
        </w:rPr>
        <w:t xml:space="preserve">(Left </w:t>
      </w:r>
      <w:r w:rsidRPr="001A259E">
        <w:rPr>
          <w:i/>
          <w:sz w:val="22"/>
          <w:szCs w:val="22"/>
        </w:rPr>
        <w:t>Photo by Jaime Incer http://www.volcano.si.edu/Photos/small/041017.jpg</w:t>
      </w:r>
      <w:r>
        <w:rPr>
          <w:i/>
          <w:sz w:val="22"/>
          <w:szCs w:val="22"/>
        </w:rPr>
        <w:t>, Right Photo Wikipedia)</w:t>
      </w:r>
    </w:p>
    <w:p w14:paraId="1C7B77A0" w14:textId="77777777" w:rsidR="00ED470C" w:rsidRDefault="00ED470C" w:rsidP="00240467">
      <w:pPr>
        <w:tabs>
          <w:tab w:val="left" w:pos="360"/>
        </w:tabs>
      </w:pPr>
    </w:p>
    <w:p w14:paraId="382F13C1" w14:textId="77777777" w:rsidR="000C0A2B" w:rsidRDefault="000C0A2B" w:rsidP="00240467">
      <w:pPr>
        <w:tabs>
          <w:tab w:val="left" w:pos="360"/>
        </w:tabs>
        <w:rPr>
          <w:b/>
        </w:rPr>
      </w:pPr>
      <w:r>
        <w:rPr>
          <w:b/>
        </w:rPr>
        <w:t>P</w:t>
      </w:r>
      <w:r w:rsidR="00E33A58">
        <w:rPr>
          <w:b/>
        </w:rPr>
        <w:t>LATE TECTONIC SETTING</w:t>
      </w:r>
    </w:p>
    <w:p w14:paraId="011599ED" w14:textId="77777777" w:rsidR="00D772E2" w:rsidRDefault="00D772E2" w:rsidP="00240467">
      <w:pPr>
        <w:tabs>
          <w:tab w:val="left" w:pos="360"/>
        </w:tabs>
      </w:pPr>
    </w:p>
    <w:p w14:paraId="34BEBF2A" w14:textId="77777777" w:rsidR="000C0A2B" w:rsidRDefault="000C0A2B" w:rsidP="00240467">
      <w:pPr>
        <w:tabs>
          <w:tab w:val="left" w:pos="360"/>
        </w:tabs>
        <w:ind w:firstLine="360"/>
      </w:pPr>
      <w:r>
        <w:t>The Ce</w:t>
      </w:r>
      <w:r w:rsidR="00783310">
        <w:t xml:space="preserve">ntral American </w:t>
      </w:r>
      <w:r w:rsidR="00D32651">
        <w:t>volcanic arc (CAVA)</w:t>
      </w:r>
      <w:r w:rsidR="00783310">
        <w:t xml:space="preserve"> </w:t>
      </w:r>
      <w:r w:rsidR="00331CDC">
        <w:t>is located</w:t>
      </w:r>
      <w:r w:rsidR="00E33A58">
        <w:t xml:space="preserve"> </w:t>
      </w:r>
      <w:r w:rsidR="00D32651">
        <w:t xml:space="preserve">at </w:t>
      </w:r>
      <w:r w:rsidR="00331CDC">
        <w:t>the</w:t>
      </w:r>
      <w:r w:rsidR="00D32651">
        <w:t xml:space="preserve"> converge</w:t>
      </w:r>
      <w:r w:rsidR="0080405B">
        <w:t>nt</w:t>
      </w:r>
      <w:r w:rsidR="00D32651">
        <w:t xml:space="preserve"> plate boundary </w:t>
      </w:r>
      <w:r>
        <w:t>where</w:t>
      </w:r>
      <w:r w:rsidR="00331CDC">
        <w:t xml:space="preserve"> the eastern part of the Cocos p</w:t>
      </w:r>
      <w:r>
        <w:t>late (2,900,000 km</w:t>
      </w:r>
      <w:r w:rsidRPr="002D4698">
        <w:rPr>
          <w:vertAlign w:val="superscript"/>
        </w:rPr>
        <w:t>2</w:t>
      </w:r>
      <w:r>
        <w:t>, the 14</w:t>
      </w:r>
      <w:r w:rsidRPr="002D4698">
        <w:rPr>
          <w:vertAlign w:val="superscript"/>
        </w:rPr>
        <w:t>th</w:t>
      </w:r>
      <w:r>
        <w:t xml:space="preserve"> largest tectonic plate) </w:t>
      </w:r>
      <w:r w:rsidR="00D32651">
        <w:t>subducts</w:t>
      </w:r>
      <w:r>
        <w:t xml:space="preserve"> beneath the w</w:t>
      </w:r>
      <w:r w:rsidR="00331CDC">
        <w:t>estern margin of the Caribbean p</w:t>
      </w:r>
      <w:r>
        <w:t>late (3,300,000 km</w:t>
      </w:r>
      <w:r w:rsidRPr="00C40C42">
        <w:rPr>
          <w:vertAlign w:val="superscript"/>
        </w:rPr>
        <w:t>2</w:t>
      </w:r>
      <w:r>
        <w:t>, the 13</w:t>
      </w:r>
      <w:r w:rsidRPr="00C40C42">
        <w:rPr>
          <w:vertAlign w:val="superscript"/>
        </w:rPr>
        <w:t>th</w:t>
      </w:r>
      <w:r>
        <w:t xml:space="preserve"> largest</w:t>
      </w:r>
      <w:r w:rsidR="00783310">
        <w:t xml:space="preserve"> tectonic plate).  The surface</w:t>
      </w:r>
      <w:r>
        <w:t xml:space="preserve"> expression of this subduction zone is marked by a ~1100 km long “necklace” of </w:t>
      </w:r>
      <w:r w:rsidR="0080405B">
        <w:t xml:space="preserve">CAVA </w:t>
      </w:r>
      <w:r>
        <w:t>volcanoes marking the w</w:t>
      </w:r>
      <w:r w:rsidR="00331CDC">
        <w:t>estern margin of the Caribbean p</w:t>
      </w:r>
      <w:r>
        <w:t xml:space="preserve">late (Fig. </w:t>
      </w:r>
      <w:r w:rsidR="0080405B">
        <w:t>4</w:t>
      </w:r>
      <w:r w:rsidR="00331CDC">
        <w:t>). The Cocos p</w:t>
      </w:r>
      <w:r>
        <w:t xml:space="preserve">late is subducted at ~6 </w:t>
      </w:r>
      <w:r w:rsidR="00331CDC">
        <w:t>cm/year beneath Central America, and</w:t>
      </w:r>
      <w:r>
        <w:t xml:space="preserve"> is produced by seafloor spreading at the Galapagos Ridge to the south and the Ea</w:t>
      </w:r>
      <w:r w:rsidR="00331CDC">
        <w:t>st Pacific Rise to the west.  The oceanic lithosphere of the Cocos plate</w:t>
      </w:r>
      <w:r>
        <w:t xml:space="preserve"> is only 15 to 20 million years old (Ma) when it begins to subduct along the well-defined Central American Trench, </w:t>
      </w:r>
      <w:r w:rsidR="0080405B">
        <w:t xml:space="preserve">which makes it </w:t>
      </w:r>
      <w:r>
        <w:t xml:space="preserve">much younger than the </w:t>
      </w:r>
      <w:r w:rsidR="00331CDC">
        <w:t>oceanic lithosphere</w:t>
      </w:r>
      <w:r w:rsidR="001A2646">
        <w:t xml:space="preserve"> that is being subducted</w:t>
      </w:r>
      <w:r>
        <w:t xml:space="preserve"> around the western </w:t>
      </w:r>
      <w:r w:rsidR="004028AB">
        <w:t xml:space="preserve">edge of the </w:t>
      </w:r>
      <w:r>
        <w:t>Pacific</w:t>
      </w:r>
      <w:r w:rsidR="004028AB">
        <w:t xml:space="preserve"> Ocean</w:t>
      </w:r>
      <w:r>
        <w:t xml:space="preserve">, which typically 100-180 Ma </w:t>
      </w:r>
      <w:r w:rsidR="001A2646">
        <w:t>in age</w:t>
      </w:r>
      <w:r>
        <w:t xml:space="preserve">.  Consequently Central America is a relatively “hot” subduction zone </w:t>
      </w:r>
      <w:r w:rsidR="004028AB">
        <w:t>in comparison to w</w:t>
      </w:r>
      <w:r>
        <w:t>estern Pacific subduction zones such as the Marianas</w:t>
      </w:r>
      <w:r w:rsidR="004028AB">
        <w:t xml:space="preserve"> volcanic arc</w:t>
      </w:r>
      <w:r>
        <w:t>.</w:t>
      </w:r>
    </w:p>
    <w:p w14:paraId="14B86C3A" w14:textId="77777777" w:rsidR="000C0A2B" w:rsidRDefault="000C0A2B" w:rsidP="00240467">
      <w:pPr>
        <w:tabs>
          <w:tab w:val="left" w:pos="360"/>
        </w:tabs>
      </w:pPr>
    </w:p>
    <w:p w14:paraId="021CB45E" w14:textId="77777777" w:rsidR="000C0A2B" w:rsidRDefault="00BB1119" w:rsidP="00240467">
      <w:pPr>
        <w:tabs>
          <w:tab w:val="left" w:pos="360"/>
        </w:tabs>
      </w:pPr>
      <w:r>
        <w:rPr>
          <w:noProof/>
        </w:rPr>
        <w:drawing>
          <wp:inline distT="0" distB="0" distL="0" distR="0" wp14:anchorId="45A308BC" wp14:editId="1A92FF26">
            <wp:extent cx="5422456" cy="3088135"/>
            <wp:effectExtent l="0" t="0" r="0" b="10795"/>
            <wp:docPr id="3" name="Picture 3" descr="Fig-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X"/>
                    <pic:cNvPicPr>
                      <a:picLocks noChangeAspect="1" noChangeArrowheads="1"/>
                    </pic:cNvPicPr>
                  </pic:nvPicPr>
                  <pic:blipFill>
                    <a:blip r:embed="rId12"/>
                    <a:srcRect/>
                    <a:stretch>
                      <a:fillRect/>
                    </a:stretch>
                  </pic:blipFill>
                  <pic:spPr bwMode="auto">
                    <a:xfrm>
                      <a:off x="0" y="0"/>
                      <a:ext cx="5422614" cy="3088225"/>
                    </a:xfrm>
                    <a:prstGeom prst="rect">
                      <a:avLst/>
                    </a:prstGeom>
                    <a:noFill/>
                    <a:ln w="9525">
                      <a:noFill/>
                      <a:miter lim="800000"/>
                      <a:headEnd/>
                      <a:tailEnd/>
                    </a:ln>
                  </pic:spPr>
                </pic:pic>
              </a:graphicData>
            </a:graphic>
          </wp:inline>
        </w:drawing>
      </w:r>
    </w:p>
    <w:p w14:paraId="22403A54" w14:textId="450803F0" w:rsidR="000C0A2B" w:rsidRPr="005B62F4" w:rsidRDefault="000C0A2B" w:rsidP="00240467">
      <w:pPr>
        <w:tabs>
          <w:tab w:val="left" w:pos="360"/>
        </w:tabs>
        <w:rPr>
          <w:i/>
          <w:sz w:val="22"/>
          <w:szCs w:val="22"/>
        </w:rPr>
      </w:pPr>
      <w:r w:rsidRPr="005B62F4">
        <w:rPr>
          <w:i/>
          <w:sz w:val="22"/>
          <w:szCs w:val="22"/>
        </w:rPr>
        <w:t>Fig</w:t>
      </w:r>
      <w:r w:rsidR="00D32651">
        <w:rPr>
          <w:i/>
          <w:sz w:val="22"/>
          <w:szCs w:val="22"/>
        </w:rPr>
        <w:t>ure</w:t>
      </w:r>
      <w:r w:rsidRPr="005B62F4">
        <w:rPr>
          <w:i/>
          <w:sz w:val="22"/>
          <w:szCs w:val="22"/>
        </w:rPr>
        <w:t xml:space="preserve"> </w:t>
      </w:r>
      <w:r w:rsidR="00D32651">
        <w:rPr>
          <w:i/>
          <w:sz w:val="22"/>
          <w:szCs w:val="22"/>
        </w:rPr>
        <w:t>4</w:t>
      </w:r>
      <w:r w:rsidRPr="005B62F4">
        <w:rPr>
          <w:i/>
          <w:sz w:val="22"/>
          <w:szCs w:val="22"/>
        </w:rPr>
        <w:t xml:space="preserve">: Tectonic setting of the Central American volcanic arc on the western margin of the Caribbean plate. </w:t>
      </w:r>
      <w:r>
        <w:rPr>
          <w:i/>
          <w:sz w:val="22"/>
          <w:szCs w:val="22"/>
        </w:rPr>
        <w:t>E</w:t>
      </w:r>
      <w:r w:rsidRPr="005B62F4">
        <w:rPr>
          <w:i/>
          <w:sz w:val="22"/>
          <w:szCs w:val="22"/>
        </w:rPr>
        <w:t>arthquake epicenters are color coded for depth</w:t>
      </w:r>
      <w:r>
        <w:rPr>
          <w:i/>
          <w:sz w:val="22"/>
          <w:szCs w:val="22"/>
        </w:rPr>
        <w:t>; those on the western margin of the Caribbean plate define the Central American subduction zone</w:t>
      </w:r>
      <w:r w:rsidRPr="005B62F4">
        <w:rPr>
          <w:i/>
          <w:sz w:val="22"/>
          <w:szCs w:val="22"/>
        </w:rPr>
        <w:t xml:space="preserve">.  </w:t>
      </w:r>
      <w:r w:rsidR="00C83E2C">
        <w:rPr>
          <w:i/>
          <w:sz w:val="22"/>
          <w:szCs w:val="22"/>
        </w:rPr>
        <w:t xml:space="preserve">(Courtesy of Eric Calais, UMR CNRS </w:t>
      </w:r>
      <w:hyperlink r:id="rId13" w:history="1">
        <w:r w:rsidRPr="00867284">
          <w:rPr>
            <w:rStyle w:val="Hyperlink"/>
            <w:i/>
            <w:sz w:val="22"/>
            <w:szCs w:val="22"/>
          </w:rPr>
          <w:t>http://web.ics.purdue.edu/~ecalais/haiti/context/</w:t>
        </w:r>
      </w:hyperlink>
      <w:r w:rsidR="00C83E2C">
        <w:rPr>
          <w:rStyle w:val="Hyperlink"/>
          <w:i/>
          <w:sz w:val="22"/>
          <w:szCs w:val="22"/>
        </w:rPr>
        <w:t>)</w:t>
      </w:r>
      <w:bookmarkStart w:id="0" w:name="_GoBack"/>
      <w:bookmarkEnd w:id="0"/>
    </w:p>
    <w:p w14:paraId="150A5EE2" w14:textId="77777777" w:rsidR="000C0A2B" w:rsidRDefault="000C0A2B" w:rsidP="00240467">
      <w:pPr>
        <w:tabs>
          <w:tab w:val="left" w:pos="360"/>
        </w:tabs>
        <w:rPr>
          <w:i/>
        </w:rPr>
      </w:pPr>
    </w:p>
    <w:p w14:paraId="49E6B2F8" w14:textId="77777777" w:rsidR="000C0A2B" w:rsidRDefault="000C0A2B" w:rsidP="00240467">
      <w:pPr>
        <w:tabs>
          <w:tab w:val="left" w:pos="360"/>
        </w:tabs>
        <w:ind w:firstLine="360"/>
      </w:pPr>
      <w:r>
        <w:rPr>
          <w:szCs w:val="20"/>
        </w:rPr>
        <w:t xml:space="preserve">A schematic cross-section of the Central American subduction zone </w:t>
      </w:r>
      <w:r w:rsidR="004028AB">
        <w:rPr>
          <w:szCs w:val="20"/>
        </w:rPr>
        <w:t>shows that t</w:t>
      </w:r>
      <w:r>
        <w:rPr>
          <w:szCs w:val="20"/>
        </w:rPr>
        <w:t xml:space="preserve">he trajectory of the subducting Cocos plate is </w:t>
      </w:r>
      <w:r w:rsidR="004028AB">
        <w:rPr>
          <w:szCs w:val="20"/>
        </w:rPr>
        <w:t>demarcated</w:t>
      </w:r>
      <w:r>
        <w:rPr>
          <w:szCs w:val="20"/>
        </w:rPr>
        <w:t xml:space="preserve"> by earthquakes</w:t>
      </w:r>
      <w:r w:rsidR="004028AB">
        <w:rPr>
          <w:szCs w:val="20"/>
        </w:rPr>
        <w:t xml:space="preserve"> (Fig. 5)</w:t>
      </w:r>
      <w:r>
        <w:rPr>
          <w:szCs w:val="20"/>
        </w:rPr>
        <w:t xml:space="preserve">.  The concept of the volcanic front is important for understanding all arc igneous activity, including CAVA.   The volcanic front marks where subduction-related igneous activity is concentrated and also separates regions underlain by colder mantle (beneath the forearc, closer to the trench) from warmer mantle that underlies the arc </w:t>
      </w:r>
      <w:r w:rsidR="00A939D2">
        <w:rPr>
          <w:szCs w:val="20"/>
        </w:rPr>
        <w:t xml:space="preserve">farther away from the trench. The volcanic fronts of all arcs worldwide lie ~100-150 km above the underlying subducted plate – sometimes called the ‘slab’. </w:t>
      </w:r>
      <w:r>
        <w:rPr>
          <w:szCs w:val="20"/>
        </w:rPr>
        <w:t xml:space="preserve">The altered oceanic crust and sediments on the subducting Cocos plate are progressively squeezed and baked, releasing hydrous fluids (at shallow depths) and sediment melts (deeper) that rise up into the overlying mantle and </w:t>
      </w:r>
      <w:r w:rsidR="001A2646">
        <w:rPr>
          <w:szCs w:val="20"/>
        </w:rPr>
        <w:t>cause chemical changes (metasomatism) within</w:t>
      </w:r>
      <w:r>
        <w:rPr>
          <w:szCs w:val="20"/>
        </w:rPr>
        <w:t xml:space="preserve"> it.  Mantle beneath the forearc is cold enough that the addition of hydrous fluids causes it to be serpenti</w:t>
      </w:r>
      <w:r w:rsidR="00331CDC">
        <w:rPr>
          <w:szCs w:val="20"/>
        </w:rPr>
        <w:t>nized (to learn more about subdu</w:t>
      </w:r>
      <w:r>
        <w:rPr>
          <w:szCs w:val="20"/>
        </w:rPr>
        <w:t xml:space="preserve">ction-related serpentinization, see SERC mini-lesson </w:t>
      </w:r>
      <w:r w:rsidRPr="00C66FFF">
        <w:rPr>
          <w:rFonts w:ascii="Times" w:hAnsi="Times" w:cs="Verdana"/>
          <w:color w:val="002355"/>
          <w:szCs w:val="60"/>
        </w:rPr>
        <w:t>“Serpentinite in Subduction Zones: How do we find it, and how common is it?”</w:t>
      </w:r>
      <w:r>
        <w:rPr>
          <w:rFonts w:ascii="Times" w:hAnsi="Times" w:cs="Verdana"/>
          <w:color w:val="002355"/>
          <w:szCs w:val="60"/>
        </w:rPr>
        <w:t>)</w:t>
      </w:r>
      <w:r>
        <w:rPr>
          <w:szCs w:val="20"/>
        </w:rPr>
        <w:t xml:space="preserve">. </w:t>
      </w:r>
      <w:r w:rsidR="00A939D2">
        <w:rPr>
          <w:szCs w:val="20"/>
        </w:rPr>
        <w:t>However, t</w:t>
      </w:r>
      <w:r>
        <w:rPr>
          <w:szCs w:val="20"/>
        </w:rPr>
        <w:t>he volcanic front lies above the circulating asthenosphere (Fig. 3), which is hot enough – perhaps ~1300°C – that addition of hydrous fluids and sediment melts from the subducted Cocos plate causes this mantle to melt (to learn more about how subducted altered oceanic crust and sediments affect the composition of arc magmas, see SERC mini-lesson “</w:t>
      </w:r>
      <w:r w:rsidRPr="00C66FFF">
        <w:rPr>
          <w:rFonts w:ascii="Times" w:hAnsi="Times" w:cs="Verdana"/>
          <w:color w:val="002355"/>
          <w:szCs w:val="60"/>
        </w:rPr>
        <w:t>Chemical Inputs and Outputs at Subduction Zones”</w:t>
      </w:r>
      <w:r>
        <w:rPr>
          <w:rFonts w:ascii="Times" w:hAnsi="Times" w:cs="Verdana"/>
          <w:color w:val="002355"/>
          <w:szCs w:val="60"/>
        </w:rPr>
        <w:t xml:space="preserve">; to learn more about how arc magmas are produced, see SERC mini-lesson “What goes into making volcanic arc magmas, and how do we </w:t>
      </w:r>
      <w:r w:rsidRPr="000855E8">
        <w:rPr>
          <w:rFonts w:ascii="Times" w:hAnsi="Times" w:cs="Verdana"/>
          <w:color w:val="002355"/>
          <w:szCs w:val="60"/>
        </w:rPr>
        <w:t>know it?”</w:t>
      </w:r>
      <w:r w:rsidRPr="000855E8">
        <w:rPr>
          <w:rFonts w:ascii="Times" w:hAnsi="Times"/>
          <w:szCs w:val="20"/>
        </w:rPr>
        <w:t>). The volcanic front is where most of the active volcanoes in CAVA</w:t>
      </w:r>
      <w:r w:rsidRPr="000855E8">
        <w:rPr>
          <w:rFonts w:ascii="Times" w:hAnsi="Times" w:cs="Times"/>
          <w:color w:val="000000"/>
          <w:szCs w:val="20"/>
        </w:rPr>
        <w:t xml:space="preserve"> are found and </w:t>
      </w:r>
      <w:r w:rsidR="00A939D2">
        <w:rPr>
          <w:rFonts w:ascii="Times" w:hAnsi="Times" w:cs="Times"/>
          <w:color w:val="000000"/>
          <w:szCs w:val="20"/>
        </w:rPr>
        <w:t xml:space="preserve">it </w:t>
      </w:r>
      <w:r w:rsidRPr="000855E8">
        <w:rPr>
          <w:rFonts w:ascii="Times" w:hAnsi="Times" w:cs="Times"/>
          <w:color w:val="000000"/>
          <w:szCs w:val="20"/>
        </w:rPr>
        <w:t>is where all historic volcanic activity has occurred (Carr et al.</w:t>
      </w:r>
      <w:r w:rsidR="00A939D2">
        <w:rPr>
          <w:rFonts w:ascii="Times" w:hAnsi="Times" w:cs="Times"/>
          <w:color w:val="000000"/>
          <w:szCs w:val="20"/>
        </w:rPr>
        <w:t>,</w:t>
      </w:r>
      <w:r w:rsidRPr="000855E8">
        <w:rPr>
          <w:rFonts w:ascii="Times" w:hAnsi="Times" w:cs="Times"/>
          <w:color w:val="000000"/>
          <w:szCs w:val="20"/>
        </w:rPr>
        <w:t xml:space="preserve"> 2003).</w:t>
      </w:r>
      <w:r>
        <w:rPr>
          <w:rFonts w:ascii="Times" w:hAnsi="Times" w:cs="Times"/>
          <w:color w:val="000000"/>
          <w:sz w:val="20"/>
          <w:szCs w:val="20"/>
        </w:rPr>
        <w:t xml:space="preserve">   </w:t>
      </w:r>
      <w:r w:rsidRPr="0054462E">
        <w:rPr>
          <w:rFonts w:ascii="Times" w:hAnsi="Times" w:cs="Times"/>
          <w:color w:val="000000"/>
          <w:szCs w:val="20"/>
        </w:rPr>
        <w:t>The CAVA volcanic front lies 165 to 190 km east of the Middle America Trench, 100-1</w:t>
      </w:r>
      <w:r w:rsidR="00BE01BB">
        <w:rPr>
          <w:rFonts w:ascii="Times" w:hAnsi="Times" w:cs="Times"/>
          <w:color w:val="000000"/>
          <w:szCs w:val="20"/>
        </w:rPr>
        <w:t>50 km above top of the subducting</w:t>
      </w:r>
      <w:r w:rsidRPr="0054462E">
        <w:rPr>
          <w:rFonts w:ascii="Times" w:hAnsi="Times" w:cs="Times"/>
          <w:color w:val="000000"/>
          <w:szCs w:val="20"/>
        </w:rPr>
        <w:t xml:space="preserve"> Cocos plate</w:t>
      </w:r>
      <w:r w:rsidRPr="0054462E">
        <w:rPr>
          <w:rFonts w:ascii="Times" w:hAnsi="Times"/>
          <w:szCs w:val="20"/>
        </w:rPr>
        <w:t xml:space="preserve"> (Syracuse et al., 2006)</w:t>
      </w:r>
      <w:r>
        <w:rPr>
          <w:szCs w:val="20"/>
        </w:rPr>
        <w:t xml:space="preserve"> (to learn more about </w:t>
      </w:r>
      <w:r w:rsidR="00A939D2">
        <w:rPr>
          <w:szCs w:val="20"/>
        </w:rPr>
        <w:t xml:space="preserve">how the </w:t>
      </w:r>
      <w:r>
        <w:rPr>
          <w:szCs w:val="20"/>
        </w:rPr>
        <w:t xml:space="preserve">geometry of subducted plates affects the location of arc volcanoes, see SERC mini-lesson </w:t>
      </w:r>
      <w:r w:rsidRPr="00C66FFF">
        <w:rPr>
          <w:rFonts w:ascii="Times" w:hAnsi="Times" w:cs="Verdana"/>
          <w:color w:val="002355"/>
          <w:szCs w:val="60"/>
        </w:rPr>
        <w:t>“How slab dip affects the location of volcanoes”</w:t>
      </w:r>
      <w:r>
        <w:rPr>
          <w:rFonts w:ascii="Times" w:hAnsi="Times" w:cs="Verdana"/>
          <w:color w:val="002355"/>
          <w:szCs w:val="60"/>
        </w:rPr>
        <w:t>).</w:t>
      </w:r>
    </w:p>
    <w:p w14:paraId="326CB264" w14:textId="77777777" w:rsidR="000C0A2B" w:rsidRDefault="000C0A2B" w:rsidP="00240467">
      <w:pPr>
        <w:tabs>
          <w:tab w:val="left" w:pos="360"/>
        </w:tabs>
      </w:pPr>
    </w:p>
    <w:p w14:paraId="0F0483D8" w14:textId="77777777" w:rsidR="000C0A2B" w:rsidRDefault="00BB1119" w:rsidP="00240467">
      <w:pPr>
        <w:tabs>
          <w:tab w:val="left" w:pos="360"/>
        </w:tabs>
      </w:pPr>
      <w:r>
        <w:rPr>
          <w:noProof/>
        </w:rPr>
        <w:drawing>
          <wp:inline distT="0" distB="0" distL="0" distR="0" wp14:anchorId="14530908" wp14:editId="508E4289">
            <wp:extent cx="5633178" cy="3631818"/>
            <wp:effectExtent l="0" t="0" r="5715" b="635"/>
            <wp:docPr id="4" name="Picture 4" descr="CentAM-SubZone-(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AM-SubZone-(simple)"/>
                    <pic:cNvPicPr>
                      <a:picLocks noChangeAspect="1" noChangeArrowheads="1"/>
                    </pic:cNvPicPr>
                  </pic:nvPicPr>
                  <pic:blipFill>
                    <a:blip r:embed="rId14"/>
                    <a:srcRect/>
                    <a:stretch>
                      <a:fillRect/>
                    </a:stretch>
                  </pic:blipFill>
                  <pic:spPr bwMode="auto">
                    <a:xfrm>
                      <a:off x="0" y="0"/>
                      <a:ext cx="5634017" cy="3632359"/>
                    </a:xfrm>
                    <a:prstGeom prst="rect">
                      <a:avLst/>
                    </a:prstGeom>
                    <a:noFill/>
                    <a:ln w="9525">
                      <a:noFill/>
                      <a:miter lim="800000"/>
                      <a:headEnd/>
                      <a:tailEnd/>
                    </a:ln>
                  </pic:spPr>
                </pic:pic>
              </a:graphicData>
            </a:graphic>
          </wp:inline>
        </w:drawing>
      </w:r>
    </w:p>
    <w:p w14:paraId="3B429CF5" w14:textId="77777777" w:rsidR="000C0A2B" w:rsidRPr="001A2646" w:rsidRDefault="004028AB" w:rsidP="00240467">
      <w:pPr>
        <w:tabs>
          <w:tab w:val="left" w:pos="360"/>
        </w:tabs>
        <w:rPr>
          <w:i/>
          <w:sz w:val="22"/>
          <w:szCs w:val="22"/>
        </w:rPr>
      </w:pPr>
      <w:r w:rsidRPr="001A2646">
        <w:rPr>
          <w:i/>
          <w:sz w:val="22"/>
          <w:szCs w:val="22"/>
        </w:rPr>
        <w:t>Figure 5</w:t>
      </w:r>
      <w:r w:rsidR="000C0A2B" w:rsidRPr="001A2646">
        <w:rPr>
          <w:i/>
          <w:sz w:val="22"/>
          <w:szCs w:val="22"/>
        </w:rPr>
        <w:t xml:space="preserve">: Simplified cross-section </w:t>
      </w:r>
      <w:r w:rsidRPr="001A2646">
        <w:rPr>
          <w:i/>
          <w:sz w:val="22"/>
          <w:szCs w:val="22"/>
        </w:rPr>
        <w:t xml:space="preserve">through northern Nicaragua </w:t>
      </w:r>
      <w:r w:rsidR="00BE01BB">
        <w:rPr>
          <w:i/>
          <w:sz w:val="22"/>
          <w:szCs w:val="22"/>
        </w:rPr>
        <w:t>and</w:t>
      </w:r>
      <w:r w:rsidR="000C0A2B" w:rsidRPr="001A2646">
        <w:rPr>
          <w:i/>
          <w:sz w:val="22"/>
          <w:szCs w:val="22"/>
        </w:rPr>
        <w:t xml:space="preserve"> the </w:t>
      </w:r>
      <w:r w:rsidRPr="001A2646">
        <w:rPr>
          <w:i/>
          <w:sz w:val="22"/>
          <w:szCs w:val="22"/>
        </w:rPr>
        <w:t xml:space="preserve">Central American </w:t>
      </w:r>
      <w:r w:rsidR="000C0A2B" w:rsidRPr="001A2646">
        <w:rPr>
          <w:i/>
          <w:sz w:val="22"/>
          <w:szCs w:val="22"/>
        </w:rPr>
        <w:t xml:space="preserve">subduction zone based on geophysical profile of MacKenzie et al. (2010).  Pinkish area shows </w:t>
      </w:r>
      <w:r w:rsidRPr="001A2646">
        <w:rPr>
          <w:i/>
          <w:sz w:val="22"/>
          <w:szCs w:val="22"/>
        </w:rPr>
        <w:t xml:space="preserve">regions of low </w:t>
      </w:r>
      <w:r w:rsidR="000C0A2B" w:rsidRPr="001A2646">
        <w:rPr>
          <w:i/>
          <w:sz w:val="22"/>
          <w:szCs w:val="22"/>
        </w:rPr>
        <w:t xml:space="preserve">Vp/Vs, </w:t>
      </w:r>
      <w:r w:rsidRPr="001A2646">
        <w:rPr>
          <w:i/>
          <w:sz w:val="22"/>
          <w:szCs w:val="22"/>
        </w:rPr>
        <w:t>signaling</w:t>
      </w:r>
      <w:r w:rsidR="000C0A2B" w:rsidRPr="001A2646">
        <w:rPr>
          <w:i/>
          <w:sz w:val="22"/>
          <w:szCs w:val="22"/>
        </w:rPr>
        <w:t xml:space="preserve"> </w:t>
      </w:r>
      <w:r w:rsidRPr="001A2646">
        <w:rPr>
          <w:i/>
          <w:sz w:val="22"/>
          <w:szCs w:val="22"/>
        </w:rPr>
        <w:t>areas</w:t>
      </w:r>
      <w:r w:rsidR="000C0A2B" w:rsidRPr="001A2646">
        <w:rPr>
          <w:i/>
          <w:sz w:val="22"/>
          <w:szCs w:val="22"/>
        </w:rPr>
        <w:t xml:space="preserve"> that are richer in fluids and melts than circulating asthenosphere beneath the backarc region.  Note two distinct regions of melting, deeper region ~60 km deep where mantle melting generates basalt (like those erupted at Cerro Neg</w:t>
      </w:r>
      <w:r w:rsidRPr="001A2646">
        <w:rPr>
          <w:i/>
          <w:sz w:val="22"/>
          <w:szCs w:val="22"/>
        </w:rPr>
        <w:t>ro</w:t>
      </w:r>
      <w:r w:rsidR="000C0A2B" w:rsidRPr="001A2646">
        <w:rPr>
          <w:i/>
          <w:sz w:val="22"/>
          <w:szCs w:val="22"/>
        </w:rPr>
        <w:t>) and shallower region in crust ~20 km deep, where felsic melts (like those of Ilopango) are generated.</w:t>
      </w:r>
    </w:p>
    <w:p w14:paraId="058C3248" w14:textId="77777777" w:rsidR="000C0A2B" w:rsidRDefault="000C0A2B" w:rsidP="00240467">
      <w:pPr>
        <w:tabs>
          <w:tab w:val="left" w:pos="360"/>
        </w:tabs>
      </w:pPr>
    </w:p>
    <w:p w14:paraId="6E71AE5F" w14:textId="4A256DEB" w:rsidR="000C0A2B" w:rsidRDefault="00195E8E" w:rsidP="00240467">
      <w:pPr>
        <w:tabs>
          <w:tab w:val="left" w:pos="360"/>
        </w:tabs>
        <w:jc w:val="center"/>
      </w:pPr>
      <w:r>
        <w:rPr>
          <w:noProof/>
        </w:rPr>
        <w:drawing>
          <wp:inline distT="0" distB="0" distL="0" distR="0" wp14:anchorId="5D866B48" wp14:editId="080BDCE2">
            <wp:extent cx="5486400" cy="4364990"/>
            <wp:effectExtent l="0" t="0" r="0" b="3810"/>
            <wp:docPr id="1" name="Picture 1" descr="Macintosh HD:Users:Gus:Desktop:CIA_map_of_Central_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s:Desktop:CIA_map_of_Central_Amer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64990"/>
                    </a:xfrm>
                    <a:prstGeom prst="rect">
                      <a:avLst/>
                    </a:prstGeom>
                    <a:noFill/>
                    <a:ln>
                      <a:noFill/>
                    </a:ln>
                  </pic:spPr>
                </pic:pic>
              </a:graphicData>
            </a:graphic>
          </wp:inline>
        </w:drawing>
      </w:r>
    </w:p>
    <w:p w14:paraId="1A3B77E3" w14:textId="623002C1" w:rsidR="000C0A2B" w:rsidRDefault="000C0A2B" w:rsidP="00240467">
      <w:pPr>
        <w:tabs>
          <w:tab w:val="left" w:pos="360"/>
        </w:tabs>
        <w:rPr>
          <w:i/>
          <w:sz w:val="22"/>
          <w:szCs w:val="22"/>
        </w:rPr>
      </w:pPr>
      <w:r>
        <w:rPr>
          <w:i/>
          <w:sz w:val="22"/>
          <w:szCs w:val="22"/>
        </w:rPr>
        <w:t>Fig</w:t>
      </w:r>
      <w:r w:rsidR="00F81838">
        <w:rPr>
          <w:i/>
          <w:sz w:val="22"/>
          <w:szCs w:val="22"/>
        </w:rPr>
        <w:t>ure 6</w:t>
      </w:r>
      <w:r w:rsidRPr="002813B3">
        <w:rPr>
          <w:i/>
          <w:sz w:val="22"/>
          <w:szCs w:val="22"/>
        </w:rPr>
        <w:t xml:space="preserve">: </w:t>
      </w:r>
      <w:r w:rsidR="00F81838">
        <w:rPr>
          <w:i/>
          <w:sz w:val="22"/>
          <w:szCs w:val="22"/>
        </w:rPr>
        <w:t xml:space="preserve">Political geography of Central America showing country boundaries, capital cities (stars), </w:t>
      </w:r>
      <w:r w:rsidR="00195E8E">
        <w:rPr>
          <w:i/>
          <w:sz w:val="22"/>
          <w:szCs w:val="22"/>
        </w:rPr>
        <w:t xml:space="preserve">and </w:t>
      </w:r>
      <w:r w:rsidR="00F81838">
        <w:rPr>
          <w:i/>
          <w:sz w:val="22"/>
          <w:szCs w:val="22"/>
        </w:rPr>
        <w:t>other major cities.</w:t>
      </w:r>
      <w:r w:rsidR="00195E8E">
        <w:rPr>
          <w:i/>
          <w:sz w:val="22"/>
          <w:szCs w:val="22"/>
        </w:rPr>
        <w:t xml:space="preserve"> (Source Wikipedia)</w:t>
      </w:r>
      <w:r w:rsidR="00F81838">
        <w:rPr>
          <w:i/>
          <w:sz w:val="22"/>
          <w:szCs w:val="22"/>
        </w:rPr>
        <w:t xml:space="preserve"> </w:t>
      </w:r>
    </w:p>
    <w:p w14:paraId="7672FF3A" w14:textId="77777777" w:rsidR="00F81838" w:rsidRDefault="00F81838" w:rsidP="00240467">
      <w:pPr>
        <w:tabs>
          <w:tab w:val="left" w:pos="360"/>
        </w:tabs>
        <w:rPr>
          <w:i/>
          <w:sz w:val="22"/>
          <w:szCs w:val="22"/>
        </w:rPr>
      </w:pPr>
    </w:p>
    <w:p w14:paraId="34B64404" w14:textId="77777777" w:rsidR="000C0A2B" w:rsidRDefault="00E33A58" w:rsidP="00240467">
      <w:pPr>
        <w:tabs>
          <w:tab w:val="left" w:pos="360"/>
        </w:tabs>
        <w:rPr>
          <w:b/>
        </w:rPr>
      </w:pPr>
      <w:r>
        <w:rPr>
          <w:b/>
        </w:rPr>
        <w:t>CULTURAL SETTING</w:t>
      </w:r>
    </w:p>
    <w:p w14:paraId="4F5C0F51" w14:textId="77777777" w:rsidR="00E33A58" w:rsidRDefault="00E33A58" w:rsidP="00240467">
      <w:pPr>
        <w:tabs>
          <w:tab w:val="left" w:pos="360"/>
        </w:tabs>
        <w:rPr>
          <w:b/>
        </w:rPr>
      </w:pPr>
    </w:p>
    <w:p w14:paraId="19C4634E" w14:textId="77777777" w:rsidR="000C0A2B" w:rsidRDefault="000C0A2B" w:rsidP="00240467">
      <w:pPr>
        <w:tabs>
          <w:tab w:val="left" w:pos="360"/>
        </w:tabs>
        <w:ind w:firstLine="360"/>
      </w:pPr>
      <w:r>
        <w:t xml:space="preserve">The ~1100 km length of CAVA is about the distance from New York City to Chicago, and </w:t>
      </w:r>
      <w:r w:rsidR="00F81838">
        <w:t>it spans six</w:t>
      </w:r>
      <w:r>
        <w:t xml:space="preserve"> Central American nations (from N to S: Guatemala, El Salvador, Honduras, Nicaragua, Costa Rica</w:t>
      </w:r>
      <w:r w:rsidR="00F81838">
        <w:t>, Panama; Fig. 6</w:t>
      </w:r>
      <w:r>
        <w:t xml:space="preserve">). These countries are relatively small in area: for example Nicaragua is about the size of </w:t>
      </w:r>
      <w:r w:rsidR="005B428F">
        <w:t xml:space="preserve">the </w:t>
      </w:r>
      <w:r>
        <w:t>U</w:t>
      </w:r>
      <w:r w:rsidR="005B428F">
        <w:t>.</w:t>
      </w:r>
      <w:r>
        <w:t>S</w:t>
      </w:r>
      <w:r w:rsidR="005B428F">
        <w:t>.</w:t>
      </w:r>
      <w:r>
        <w:t xml:space="preserve"> state </w:t>
      </w:r>
      <w:r w:rsidR="005B428F">
        <w:t xml:space="preserve">of </w:t>
      </w:r>
      <w:r>
        <w:t xml:space="preserve">Arkansas.  Costa Rica is about the size of </w:t>
      </w:r>
      <w:r w:rsidR="005B428F">
        <w:t xml:space="preserve">the </w:t>
      </w:r>
      <w:r>
        <w:t>U</w:t>
      </w:r>
      <w:r w:rsidR="005B428F">
        <w:t>.</w:t>
      </w:r>
      <w:r>
        <w:t>S</w:t>
      </w:r>
      <w:r w:rsidR="005B428F">
        <w:t>.</w:t>
      </w:r>
      <w:r>
        <w:t xml:space="preserve"> states </w:t>
      </w:r>
      <w:r w:rsidR="005B428F">
        <w:t xml:space="preserve">of </w:t>
      </w:r>
      <w:r>
        <w:t xml:space="preserve">Vermont and New Hampshire combined.  Many of the ~40 million people of these nations live near volcanoes, including those who live in </w:t>
      </w:r>
      <w:r w:rsidR="008755BF">
        <w:t>four</w:t>
      </w:r>
      <w:r w:rsidR="00F81838">
        <w:t xml:space="preserve"> of these nations’ capitols</w:t>
      </w:r>
      <w:r>
        <w:t xml:space="preserve">: </w:t>
      </w:r>
      <w:r w:rsidR="008755BF">
        <w:t xml:space="preserve">San Jose (Costa Rica) near Irazu volcano, </w:t>
      </w:r>
      <w:r>
        <w:t>Guatemala Cit</w:t>
      </w:r>
      <w:r w:rsidR="008755BF">
        <w:t>y at the foot of Pacaya volcano,</w:t>
      </w:r>
      <w:r>
        <w:t xml:space="preserve"> San Salvador at the foot of Boquerôn volcano, and Managua </w:t>
      </w:r>
      <w:r w:rsidR="008755BF">
        <w:t xml:space="preserve">(Nicaragua) </w:t>
      </w:r>
      <w:r>
        <w:t xml:space="preserve">at the foot of Masaya volcano.  Honduras </w:t>
      </w:r>
      <w:r w:rsidR="005B428F">
        <w:t>and Belize are</w:t>
      </w:r>
      <w:r>
        <w:t xml:space="preserve"> also in Central America but </w:t>
      </w:r>
      <w:r w:rsidR="005B428F">
        <w:t xml:space="preserve">they lack </w:t>
      </w:r>
      <w:r>
        <w:t>active arc volcanoes.</w:t>
      </w:r>
    </w:p>
    <w:p w14:paraId="1E2268C0" w14:textId="77777777" w:rsidR="005B428F" w:rsidRDefault="005B428F" w:rsidP="00240467">
      <w:pPr>
        <w:tabs>
          <w:tab w:val="left" w:pos="360"/>
        </w:tabs>
        <w:ind w:firstLine="360"/>
      </w:pPr>
    </w:p>
    <w:p w14:paraId="2919572E" w14:textId="77777777" w:rsidR="005B428F" w:rsidRDefault="005B428F" w:rsidP="00240467">
      <w:pPr>
        <w:tabs>
          <w:tab w:val="left" w:pos="360"/>
        </w:tabs>
        <w:ind w:firstLine="360"/>
      </w:pPr>
      <w:r>
        <w:t xml:space="preserve">The people living in Central America have origins that derive from a mixture of indigenous cultures (Mayan predominantly) and </w:t>
      </w:r>
      <w:r w:rsidR="008755BF">
        <w:t xml:space="preserve">predominantly Spanish </w:t>
      </w:r>
      <w:r>
        <w:t xml:space="preserve">European settlers. The most frequently spoken common language is Spanish, and many of the economies are based on agriculture and tourism, which are both strongly influenced by the presence of CAVA. </w:t>
      </w:r>
    </w:p>
    <w:p w14:paraId="4C3259D9" w14:textId="77777777" w:rsidR="000C0A2B" w:rsidRDefault="00BB1119" w:rsidP="00240467">
      <w:pPr>
        <w:tabs>
          <w:tab w:val="left" w:pos="360"/>
        </w:tabs>
        <w:jc w:val="center"/>
      </w:pPr>
      <w:r>
        <w:rPr>
          <w:noProof/>
        </w:rPr>
        <w:drawing>
          <wp:inline distT="0" distB="0" distL="0" distR="0" wp14:anchorId="4FBB7351" wp14:editId="6543DC8A">
            <wp:extent cx="5480005" cy="4273798"/>
            <wp:effectExtent l="0" t="0" r="6985" b="0"/>
            <wp:docPr id="6" name="Picture 6" descr="CentAm-B-W_03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Am-B-W_032613"/>
                    <pic:cNvPicPr>
                      <a:picLocks noChangeAspect="1" noChangeArrowheads="1"/>
                    </pic:cNvPicPr>
                  </pic:nvPicPr>
                  <pic:blipFill>
                    <a:blip r:embed="rId16"/>
                    <a:srcRect/>
                    <a:stretch>
                      <a:fillRect/>
                    </a:stretch>
                  </pic:blipFill>
                  <pic:spPr bwMode="auto">
                    <a:xfrm>
                      <a:off x="0" y="0"/>
                      <a:ext cx="5480736" cy="4274368"/>
                    </a:xfrm>
                    <a:prstGeom prst="rect">
                      <a:avLst/>
                    </a:prstGeom>
                    <a:noFill/>
                    <a:ln w="9525">
                      <a:noFill/>
                      <a:miter lim="800000"/>
                      <a:headEnd/>
                      <a:tailEnd/>
                    </a:ln>
                  </pic:spPr>
                </pic:pic>
              </a:graphicData>
            </a:graphic>
          </wp:inline>
        </w:drawing>
      </w:r>
    </w:p>
    <w:p w14:paraId="42ADC761" w14:textId="77777777" w:rsidR="000C0A2B" w:rsidRDefault="000C0A2B" w:rsidP="00240467">
      <w:pPr>
        <w:tabs>
          <w:tab w:val="left" w:pos="360"/>
        </w:tabs>
        <w:jc w:val="center"/>
      </w:pPr>
    </w:p>
    <w:p w14:paraId="1FC69D25" w14:textId="77777777" w:rsidR="000C0A2B" w:rsidRPr="005306F3" w:rsidRDefault="003A3535" w:rsidP="00240467">
      <w:pPr>
        <w:tabs>
          <w:tab w:val="left" w:pos="360"/>
        </w:tabs>
        <w:rPr>
          <w:i/>
          <w:sz w:val="20"/>
          <w:szCs w:val="20"/>
        </w:rPr>
      </w:pPr>
      <w:r>
        <w:rPr>
          <w:i/>
          <w:sz w:val="20"/>
          <w:szCs w:val="20"/>
        </w:rPr>
        <w:t>Figure 7</w:t>
      </w:r>
      <w:r w:rsidR="000C0A2B" w:rsidRPr="005306F3">
        <w:rPr>
          <w:i/>
          <w:sz w:val="20"/>
          <w:szCs w:val="20"/>
        </w:rPr>
        <w:t xml:space="preserve">: Simplified tectonic map of the Central American convergent plate boundary.  Red triangles mark </w:t>
      </w:r>
      <w:r w:rsidR="000C0A2B">
        <w:rPr>
          <w:i/>
          <w:sz w:val="20"/>
          <w:szCs w:val="20"/>
        </w:rPr>
        <w:t xml:space="preserve">CAVA </w:t>
      </w:r>
      <w:r w:rsidR="000C0A2B" w:rsidRPr="005306F3">
        <w:rPr>
          <w:i/>
          <w:sz w:val="20"/>
          <w:szCs w:val="20"/>
        </w:rPr>
        <w:t xml:space="preserve">volcanoes.  Colors of Cocos plate seafloor correspond to ages, from 24 Ma (brown) to 18 Ma (greenish blue).  Yellow lines mark plate boundaries and yellow arrows show relative plate motions.  Dashed lines show approximate depths to the top of the subducted Cocos plate, after Syracuse and Abers (2006).  Dashed </w:t>
      </w:r>
      <w:r>
        <w:rPr>
          <w:i/>
          <w:sz w:val="20"/>
          <w:szCs w:val="20"/>
        </w:rPr>
        <w:t>purple lines define subterranes</w:t>
      </w:r>
      <w:r w:rsidR="000C0A2B" w:rsidRPr="005306F3">
        <w:rPr>
          <w:i/>
          <w:sz w:val="20"/>
          <w:szCs w:val="20"/>
        </w:rPr>
        <w:t>; note that continental crust underlies NW Central America (Chortis Terrane) but Late Cretaceous oceanic plateau of the Caribbean Large Igneous Province</w:t>
      </w:r>
      <w:r w:rsidR="000C0A2B">
        <w:rPr>
          <w:i/>
          <w:sz w:val="20"/>
          <w:szCs w:val="20"/>
        </w:rPr>
        <w:t xml:space="preserve"> underlies Nicaragua and Costa Rica</w:t>
      </w:r>
      <w:r w:rsidR="000C0A2B" w:rsidRPr="005306F3">
        <w:rPr>
          <w:i/>
          <w:sz w:val="20"/>
          <w:szCs w:val="20"/>
        </w:rPr>
        <w:t>.</w:t>
      </w:r>
    </w:p>
    <w:p w14:paraId="2187642B" w14:textId="77777777" w:rsidR="000C0A2B" w:rsidRDefault="000C0A2B" w:rsidP="00240467">
      <w:pPr>
        <w:tabs>
          <w:tab w:val="left" w:pos="360"/>
        </w:tabs>
        <w:jc w:val="center"/>
      </w:pPr>
    </w:p>
    <w:p w14:paraId="621A8349" w14:textId="77777777" w:rsidR="000C0A2B" w:rsidRDefault="000C0A2B" w:rsidP="00240467">
      <w:pPr>
        <w:tabs>
          <w:tab w:val="left" w:pos="360"/>
        </w:tabs>
        <w:rPr>
          <w:b/>
        </w:rPr>
      </w:pPr>
      <w:r>
        <w:rPr>
          <w:b/>
        </w:rPr>
        <w:t>C</w:t>
      </w:r>
      <w:r w:rsidR="00E33A58">
        <w:rPr>
          <w:b/>
        </w:rPr>
        <w:t>ENTRAL AMERICAN VOLCANIC ARC (CAVA)</w:t>
      </w:r>
    </w:p>
    <w:p w14:paraId="2E2B742B" w14:textId="77777777" w:rsidR="00E33A58" w:rsidRDefault="00E33A58" w:rsidP="00240467">
      <w:pPr>
        <w:tabs>
          <w:tab w:val="left" w:pos="360"/>
        </w:tabs>
        <w:rPr>
          <w:b/>
        </w:rPr>
      </w:pPr>
    </w:p>
    <w:p w14:paraId="541457A2" w14:textId="77777777" w:rsidR="000C0A2B" w:rsidRDefault="000C0A2B" w:rsidP="00240467">
      <w:pPr>
        <w:tabs>
          <w:tab w:val="left" w:pos="360"/>
        </w:tabs>
        <w:ind w:firstLine="360"/>
        <w:rPr>
          <w:rFonts w:ascii="Times" w:hAnsi="Times"/>
        </w:rPr>
      </w:pPr>
      <w:r w:rsidRPr="006138CD">
        <w:rPr>
          <w:rFonts w:ascii="Times" w:hAnsi="Times"/>
        </w:rPr>
        <w:t xml:space="preserve">The ~1100 km long CAVA </w:t>
      </w:r>
      <w:r w:rsidR="00240467">
        <w:rPr>
          <w:rFonts w:ascii="Times" w:hAnsi="Times"/>
        </w:rPr>
        <w:t>begins</w:t>
      </w:r>
      <w:r w:rsidRPr="006138CD">
        <w:rPr>
          <w:rFonts w:ascii="Times" w:hAnsi="Times"/>
        </w:rPr>
        <w:t xml:space="preserve"> near the Mexico-Guatemala border, at the western extension of the Motogua-Polochic fault.  This gigantic fault marks a Cretaceous suture zone that has been reactivated as a left-lateral transform fault that now separates the North American and Caribbean plates (Fig. </w:t>
      </w:r>
      <w:r w:rsidR="00323620">
        <w:rPr>
          <w:rFonts w:ascii="Times" w:hAnsi="Times"/>
        </w:rPr>
        <w:t>7</w:t>
      </w:r>
      <w:r w:rsidRPr="006138CD">
        <w:rPr>
          <w:rFonts w:ascii="Times" w:hAnsi="Times"/>
        </w:rPr>
        <w:t xml:space="preserve">). </w:t>
      </w:r>
      <w:r w:rsidR="00323620">
        <w:rPr>
          <w:rFonts w:ascii="Times" w:hAnsi="Times"/>
        </w:rPr>
        <w:t>T</w:t>
      </w:r>
      <w:r w:rsidRPr="006138CD">
        <w:rPr>
          <w:rFonts w:ascii="Times" w:hAnsi="Times"/>
        </w:rPr>
        <w:t xml:space="preserve">he Cocos plate is </w:t>
      </w:r>
      <w:r w:rsidR="00323620">
        <w:rPr>
          <w:rFonts w:ascii="Times" w:hAnsi="Times"/>
        </w:rPr>
        <w:t xml:space="preserve">also </w:t>
      </w:r>
      <w:r w:rsidRPr="006138CD">
        <w:rPr>
          <w:rFonts w:ascii="Times" w:hAnsi="Times"/>
        </w:rPr>
        <w:t>subducted beneath sou</w:t>
      </w:r>
      <w:r w:rsidR="00323620">
        <w:rPr>
          <w:rFonts w:ascii="Times" w:hAnsi="Times"/>
        </w:rPr>
        <w:t>thernmost Mexico, so why does not</w:t>
      </w:r>
      <w:r w:rsidRPr="006138CD">
        <w:rPr>
          <w:rFonts w:ascii="Times" w:hAnsi="Times"/>
        </w:rPr>
        <w:t xml:space="preserve"> the volcanic front continue farther NW</w:t>
      </w:r>
      <w:r>
        <w:rPr>
          <w:rFonts w:ascii="Times" w:hAnsi="Times"/>
        </w:rPr>
        <w:t xml:space="preserve"> into Mexico</w:t>
      </w:r>
      <w:r w:rsidR="00323620">
        <w:rPr>
          <w:rFonts w:ascii="Times" w:hAnsi="Times"/>
        </w:rPr>
        <w:t>? We do not</w:t>
      </w:r>
      <w:r w:rsidRPr="006138CD">
        <w:rPr>
          <w:rFonts w:ascii="Times" w:hAnsi="Times"/>
        </w:rPr>
        <w:t xml:space="preserve"> know. </w:t>
      </w:r>
      <w:r>
        <w:rPr>
          <w:rFonts w:ascii="Times" w:hAnsi="Times"/>
        </w:rPr>
        <w:t>Why</w:t>
      </w:r>
      <w:r w:rsidRPr="006138CD">
        <w:rPr>
          <w:rFonts w:ascii="Times" w:hAnsi="Times"/>
        </w:rPr>
        <w:t xml:space="preserve"> CAVA </w:t>
      </w:r>
      <w:r>
        <w:rPr>
          <w:rFonts w:ascii="Times" w:hAnsi="Times"/>
        </w:rPr>
        <w:t xml:space="preserve">ends in the </w:t>
      </w:r>
      <w:r w:rsidR="00323620">
        <w:rPr>
          <w:rFonts w:ascii="Times" w:hAnsi="Times"/>
        </w:rPr>
        <w:t>very NW corner of Panama</w:t>
      </w:r>
      <w:r>
        <w:rPr>
          <w:rFonts w:ascii="Times" w:hAnsi="Times"/>
        </w:rPr>
        <w:t xml:space="preserve"> </w:t>
      </w:r>
      <w:r w:rsidR="00524B05">
        <w:rPr>
          <w:rFonts w:ascii="Times" w:hAnsi="Times"/>
        </w:rPr>
        <w:t>is also mysterious.  T</w:t>
      </w:r>
      <w:r>
        <w:rPr>
          <w:rFonts w:ascii="Times" w:hAnsi="Times"/>
        </w:rPr>
        <w:t xml:space="preserve">he Cocos plate is subducted </w:t>
      </w:r>
      <w:r w:rsidR="00524B05">
        <w:rPr>
          <w:rFonts w:ascii="Times" w:hAnsi="Times"/>
        </w:rPr>
        <w:t xml:space="preserve">underneath much of Panama, </w:t>
      </w:r>
      <w:r>
        <w:rPr>
          <w:rFonts w:ascii="Times" w:hAnsi="Times"/>
        </w:rPr>
        <w:t xml:space="preserve">but CAVA just stops. </w:t>
      </w:r>
      <w:r w:rsidRPr="006138CD">
        <w:rPr>
          <w:rFonts w:ascii="Times" w:hAnsi="Times"/>
        </w:rPr>
        <w:t xml:space="preserve"> The SE termination is even more surprising than the NW termination, because the volcanoes at this end – Barbra, </w:t>
      </w:r>
      <w:r w:rsidRPr="006138CD">
        <w:rPr>
          <w:rFonts w:ascii="Times" w:hAnsi="Times"/>
          <w:color w:val="000000"/>
        </w:rPr>
        <w:t xml:space="preserve">Irazú, and </w:t>
      </w:r>
      <w:r w:rsidRPr="006138CD">
        <w:rPr>
          <w:rFonts w:ascii="Times" w:hAnsi="Times"/>
        </w:rPr>
        <w:t xml:space="preserve">Turralba – are the largest of all CAVA volcanoes. </w:t>
      </w:r>
      <w:r>
        <w:rPr>
          <w:rFonts w:ascii="Times" w:hAnsi="Times"/>
        </w:rPr>
        <w:t xml:space="preserve">The SE termination </w:t>
      </w:r>
      <w:r w:rsidRPr="006138CD">
        <w:rPr>
          <w:rFonts w:ascii="Times" w:hAnsi="Times"/>
        </w:rPr>
        <w:t xml:space="preserve">is not associated with </w:t>
      </w:r>
      <w:r>
        <w:rPr>
          <w:rFonts w:ascii="Times" w:hAnsi="Times"/>
        </w:rPr>
        <w:t>a major fault like the Motogua-Polochic fault.</w:t>
      </w:r>
      <w:r w:rsidRPr="006138CD">
        <w:rPr>
          <w:rFonts w:ascii="Times" w:hAnsi="Times"/>
        </w:rPr>
        <w:t xml:space="preserve"> Why do</w:t>
      </w:r>
      <w:r w:rsidR="00524B05">
        <w:rPr>
          <w:rFonts w:ascii="Times" w:hAnsi="Times"/>
        </w:rPr>
        <w:t>es CAVA end in the SE?  We do not yet</w:t>
      </w:r>
      <w:r w:rsidRPr="006138CD">
        <w:rPr>
          <w:rFonts w:ascii="Times" w:hAnsi="Times"/>
        </w:rPr>
        <w:t xml:space="preserve"> know.</w:t>
      </w:r>
      <w:r>
        <w:rPr>
          <w:rFonts w:ascii="Times" w:hAnsi="Times"/>
        </w:rPr>
        <w:t xml:space="preserve"> </w:t>
      </w:r>
    </w:p>
    <w:p w14:paraId="2B72BCAB" w14:textId="77777777" w:rsidR="00790596" w:rsidRDefault="00790596" w:rsidP="00240467">
      <w:pPr>
        <w:tabs>
          <w:tab w:val="left" w:pos="360"/>
        </w:tabs>
        <w:ind w:firstLine="720"/>
        <w:rPr>
          <w:rFonts w:ascii="Times" w:hAnsi="Times"/>
        </w:rPr>
      </w:pPr>
    </w:p>
    <w:p w14:paraId="6BBCA54A" w14:textId="77777777" w:rsidR="000C0A2B" w:rsidRDefault="000C0A2B" w:rsidP="00240467">
      <w:pPr>
        <w:tabs>
          <w:tab w:val="left" w:pos="360"/>
        </w:tabs>
        <w:ind w:firstLine="360"/>
        <w:rPr>
          <w:rFonts w:ascii="Times" w:hAnsi="Times"/>
          <w:szCs w:val="20"/>
        </w:rPr>
      </w:pPr>
      <w:r w:rsidRPr="006138CD">
        <w:rPr>
          <w:rFonts w:ascii="Times" w:hAnsi="Times" w:cs="TimesNewRomanPSMT"/>
          <w:szCs w:val="20"/>
        </w:rPr>
        <w:t xml:space="preserve">The crust </w:t>
      </w:r>
      <w:r w:rsidR="00240467">
        <w:rPr>
          <w:rFonts w:ascii="Times" w:hAnsi="Times" w:cs="TimesNewRomanPSMT"/>
          <w:szCs w:val="20"/>
        </w:rPr>
        <w:t>upon which</w:t>
      </w:r>
      <w:r w:rsidRPr="006138CD">
        <w:rPr>
          <w:rFonts w:ascii="Times" w:hAnsi="Times" w:cs="TimesNewRomanPSMT"/>
          <w:szCs w:val="20"/>
        </w:rPr>
        <w:t xml:space="preserve"> CAVA </w:t>
      </w:r>
      <w:r w:rsidR="00240467">
        <w:rPr>
          <w:rFonts w:ascii="Times" w:hAnsi="Times" w:cs="TimesNewRomanPSMT"/>
          <w:szCs w:val="20"/>
        </w:rPr>
        <w:t xml:space="preserve">was built </w:t>
      </w:r>
      <w:r w:rsidRPr="006138CD">
        <w:rPr>
          <w:rFonts w:ascii="Times" w:hAnsi="Times" w:cs="TimesNewRomanPSMT"/>
          <w:szCs w:val="20"/>
        </w:rPr>
        <w:t xml:space="preserve">varies from NW to SE. </w:t>
      </w:r>
      <w:r w:rsidRPr="006138CD">
        <w:rPr>
          <w:rFonts w:ascii="Times" w:hAnsi="Times"/>
          <w:szCs w:val="20"/>
        </w:rPr>
        <w:t>Continental crust of Paleozoic and older age of the Chortis</w:t>
      </w:r>
      <w:r>
        <w:rPr>
          <w:rFonts w:ascii="Times" w:hAnsi="Times"/>
          <w:szCs w:val="20"/>
        </w:rPr>
        <w:t xml:space="preserve"> terrane </w:t>
      </w:r>
      <w:r w:rsidRPr="000F49A5">
        <w:rPr>
          <w:rFonts w:ascii="Times" w:hAnsi="Times"/>
          <w:szCs w:val="20"/>
        </w:rPr>
        <w:t>underlies NW C</w:t>
      </w:r>
      <w:r>
        <w:rPr>
          <w:rFonts w:ascii="Times" w:hAnsi="Times"/>
          <w:szCs w:val="20"/>
        </w:rPr>
        <w:t xml:space="preserve">entral America (Guatemala, Honduras, and </w:t>
      </w:r>
      <w:r w:rsidR="00240467">
        <w:rPr>
          <w:rFonts w:ascii="Times" w:hAnsi="Times"/>
          <w:szCs w:val="20"/>
        </w:rPr>
        <w:t>possibly</w:t>
      </w:r>
      <w:r>
        <w:rPr>
          <w:rFonts w:ascii="Times" w:hAnsi="Times"/>
          <w:szCs w:val="20"/>
        </w:rPr>
        <w:t xml:space="preserve"> El Salvador)</w:t>
      </w:r>
      <w:r w:rsidRPr="000F49A5">
        <w:rPr>
          <w:rFonts w:ascii="Times" w:hAnsi="Times"/>
          <w:szCs w:val="20"/>
        </w:rPr>
        <w:t xml:space="preserve"> but </w:t>
      </w:r>
      <w:r>
        <w:rPr>
          <w:rFonts w:ascii="Times" w:hAnsi="Times"/>
          <w:szCs w:val="20"/>
        </w:rPr>
        <w:t xml:space="preserve">the crust beneath SE Central America (Nicaragua, Costa Rica, and Panama) is </w:t>
      </w:r>
      <w:r w:rsidRPr="000F49A5">
        <w:rPr>
          <w:rFonts w:ascii="Times" w:hAnsi="Times"/>
          <w:szCs w:val="20"/>
        </w:rPr>
        <w:t>Late Cretaceous oceanic plateau of the Caribbean Large Igneous Province.</w:t>
      </w:r>
      <w:r>
        <w:rPr>
          <w:rFonts w:ascii="Times" w:hAnsi="Times"/>
          <w:szCs w:val="20"/>
        </w:rPr>
        <w:t xml:space="preserve">  It is not yet clear whether or not the more continent</w:t>
      </w:r>
      <w:r w:rsidR="00240467">
        <w:rPr>
          <w:rFonts w:ascii="Times" w:hAnsi="Times"/>
          <w:szCs w:val="20"/>
        </w:rPr>
        <w:t>al nature of crust in the NW as opposed to</w:t>
      </w:r>
      <w:r>
        <w:rPr>
          <w:rFonts w:ascii="Times" w:hAnsi="Times"/>
          <w:szCs w:val="20"/>
        </w:rPr>
        <w:t xml:space="preserve"> the more oceanic nature of the crust in the SE has any effect o</w:t>
      </w:r>
      <w:r w:rsidR="00240467">
        <w:rPr>
          <w:rFonts w:ascii="Times" w:hAnsi="Times"/>
          <w:szCs w:val="20"/>
        </w:rPr>
        <w:t xml:space="preserve">n the composition of lavas erupted by </w:t>
      </w:r>
      <w:r>
        <w:rPr>
          <w:rFonts w:ascii="Times" w:hAnsi="Times"/>
          <w:szCs w:val="20"/>
        </w:rPr>
        <w:t xml:space="preserve">CAVA </w:t>
      </w:r>
      <w:r w:rsidR="00240467">
        <w:rPr>
          <w:rFonts w:ascii="Times" w:hAnsi="Times"/>
          <w:szCs w:val="20"/>
        </w:rPr>
        <w:t>volcanoes</w:t>
      </w:r>
      <w:r>
        <w:rPr>
          <w:rFonts w:ascii="Times" w:hAnsi="Times"/>
          <w:szCs w:val="20"/>
        </w:rPr>
        <w:t>.</w:t>
      </w:r>
    </w:p>
    <w:p w14:paraId="3F1DF86D" w14:textId="77777777" w:rsidR="00790596" w:rsidRPr="008773FB" w:rsidRDefault="00790596" w:rsidP="00240467">
      <w:pPr>
        <w:tabs>
          <w:tab w:val="left" w:pos="360"/>
        </w:tabs>
        <w:ind w:firstLine="720"/>
        <w:rPr>
          <w:rFonts w:ascii="Times" w:hAnsi="Times"/>
          <w:szCs w:val="20"/>
        </w:rPr>
      </w:pPr>
    </w:p>
    <w:p w14:paraId="7BD040D7" w14:textId="77777777" w:rsidR="000C0A2B" w:rsidRDefault="000C0A2B" w:rsidP="00240467">
      <w:pPr>
        <w:tabs>
          <w:tab w:val="left" w:pos="360"/>
        </w:tabs>
      </w:pPr>
      <w:r>
        <w:rPr>
          <w:rFonts w:ascii="Times" w:hAnsi="Times"/>
        </w:rPr>
        <w:tab/>
      </w:r>
      <w:r w:rsidRPr="006B1681">
        <w:rPr>
          <w:rFonts w:ascii="Times" w:hAnsi="Times" w:cs="TimesNewRomanPSMT"/>
          <w:color w:val="141413"/>
          <w:szCs w:val="22"/>
        </w:rPr>
        <w:t xml:space="preserve">The </w:t>
      </w:r>
      <w:r>
        <w:rPr>
          <w:rFonts w:ascii="Times" w:hAnsi="Times" w:cs="TimesNewRomanPSMT"/>
          <w:color w:val="141413"/>
          <w:szCs w:val="22"/>
        </w:rPr>
        <w:t xml:space="preserve">CAVA </w:t>
      </w:r>
      <w:r w:rsidRPr="006B1681">
        <w:rPr>
          <w:rFonts w:ascii="Times" w:hAnsi="Times" w:cs="TimesNewRomanPSMT"/>
          <w:color w:val="141413"/>
          <w:szCs w:val="22"/>
        </w:rPr>
        <w:t xml:space="preserve">volcanic front is a chain, made of right-stepping, linear segments, </w:t>
      </w:r>
      <w:r>
        <w:rPr>
          <w:rFonts w:ascii="Times" w:hAnsi="Times" w:cs="TimesNewRomanPSMT"/>
          <w:color w:val="141413"/>
          <w:szCs w:val="22"/>
        </w:rPr>
        <w:t xml:space="preserve">each </w:t>
      </w:r>
      <w:r w:rsidRPr="006B1681">
        <w:rPr>
          <w:rFonts w:ascii="Times" w:hAnsi="Times" w:cs="TimesNewRomanPSMT"/>
          <w:color w:val="141413"/>
          <w:szCs w:val="22"/>
        </w:rPr>
        <w:t xml:space="preserve">100 to 300 </w:t>
      </w:r>
      <w:r>
        <w:rPr>
          <w:rFonts w:ascii="Times" w:hAnsi="Times" w:cs="TimesNewRomanPSMT"/>
          <w:color w:val="141413"/>
          <w:szCs w:val="22"/>
        </w:rPr>
        <w:t>km long (to learn more about the offset, segmented alignments of CAVA volcanoes, see SERC minilesson “</w:t>
      </w:r>
      <w:r w:rsidR="00240467">
        <w:rPr>
          <w:rFonts w:ascii="Times" w:hAnsi="Times" w:cs="Verdana"/>
          <w:color w:val="1A1A1A"/>
          <w:szCs w:val="28"/>
        </w:rPr>
        <w:t xml:space="preserve">“Volcanoes of Central America”). </w:t>
      </w:r>
      <w:r>
        <w:rPr>
          <w:rFonts w:ascii="Times" w:hAnsi="Times" w:cs="TimesNewRomanPSMT"/>
          <w:color w:val="141413"/>
          <w:szCs w:val="22"/>
        </w:rPr>
        <w:t>CAVA v</w:t>
      </w:r>
      <w:r w:rsidRPr="006B1681">
        <w:rPr>
          <w:rFonts w:ascii="Times" w:hAnsi="Times" w:cs="TimesNewRomanPSMT"/>
          <w:color w:val="141413"/>
          <w:szCs w:val="22"/>
        </w:rPr>
        <w:t xml:space="preserve">olcanoes </w:t>
      </w:r>
      <w:r>
        <w:rPr>
          <w:rFonts w:ascii="Times" w:hAnsi="Times" w:cs="TimesNewRomanPSMT"/>
          <w:color w:val="141413"/>
          <w:szCs w:val="22"/>
        </w:rPr>
        <w:t xml:space="preserve">are </w:t>
      </w:r>
      <w:r w:rsidRPr="006B1681">
        <w:rPr>
          <w:rFonts w:ascii="Times" w:hAnsi="Times" w:cs="TimesNewRomanPSMT"/>
          <w:color w:val="141413"/>
          <w:szCs w:val="22"/>
        </w:rPr>
        <w:t>cluster</w:t>
      </w:r>
      <w:r>
        <w:rPr>
          <w:rFonts w:ascii="Times" w:hAnsi="Times" w:cs="TimesNewRomanPSMT"/>
          <w:color w:val="141413"/>
          <w:szCs w:val="22"/>
        </w:rPr>
        <w:t>ed</w:t>
      </w:r>
      <w:r w:rsidRPr="006B1681">
        <w:rPr>
          <w:rFonts w:ascii="Times" w:hAnsi="Times" w:cs="TimesNewRomanPSMT"/>
          <w:color w:val="141413"/>
          <w:szCs w:val="22"/>
        </w:rPr>
        <w:t xml:space="preserve"> into </w:t>
      </w:r>
      <w:r>
        <w:rPr>
          <w:rFonts w:ascii="Times" w:hAnsi="Times" w:cs="TimesNewRomanPSMT"/>
          <w:color w:val="141413"/>
          <w:szCs w:val="22"/>
        </w:rPr>
        <w:t xml:space="preserve">39 distinct </w:t>
      </w:r>
      <w:r w:rsidRPr="006B1681">
        <w:rPr>
          <w:rFonts w:ascii="Times" w:hAnsi="Times" w:cs="TimesNewRomanPSMT"/>
          <w:color w:val="141413"/>
          <w:szCs w:val="22"/>
        </w:rPr>
        <w:t xml:space="preserve">centers, </w:t>
      </w:r>
      <w:r>
        <w:rPr>
          <w:rFonts w:ascii="Times" w:hAnsi="Times" w:cs="TimesNewRomanPSMT"/>
          <w:color w:val="141413"/>
          <w:szCs w:val="22"/>
        </w:rPr>
        <w:t xml:space="preserve">each center </w:t>
      </w:r>
      <w:r>
        <w:rPr>
          <w:rFonts w:ascii="Times" w:hAnsi="Times" w:cs="Times"/>
          <w:color w:val="000000"/>
          <w:szCs w:val="20"/>
        </w:rPr>
        <w:t>comprising</w:t>
      </w:r>
      <w:r w:rsidRPr="006B1681">
        <w:rPr>
          <w:rFonts w:ascii="Times" w:hAnsi="Times" w:cs="Times"/>
          <w:color w:val="000000"/>
          <w:szCs w:val="20"/>
        </w:rPr>
        <w:t xml:space="preserve"> </w:t>
      </w:r>
      <w:r>
        <w:rPr>
          <w:rFonts w:ascii="Times" w:hAnsi="Times" w:cs="Times"/>
          <w:color w:val="000000"/>
          <w:szCs w:val="20"/>
        </w:rPr>
        <w:t>multiple volcanic</w:t>
      </w:r>
      <w:r w:rsidRPr="006B1681">
        <w:rPr>
          <w:rFonts w:ascii="Times" w:hAnsi="Times" w:cs="Times"/>
          <w:color w:val="000000"/>
          <w:szCs w:val="20"/>
        </w:rPr>
        <w:t xml:space="preserve"> vents, ranging from maars to calderas, and including </w:t>
      </w:r>
      <w:r>
        <w:rPr>
          <w:rFonts w:ascii="Times" w:hAnsi="Times" w:cs="Times"/>
          <w:color w:val="000000"/>
          <w:szCs w:val="20"/>
        </w:rPr>
        <w:t xml:space="preserve">cinder cones, </w:t>
      </w:r>
      <w:r w:rsidRPr="006B1681">
        <w:rPr>
          <w:rFonts w:ascii="Times" w:hAnsi="Times" w:cs="Times"/>
          <w:color w:val="000000"/>
          <w:szCs w:val="20"/>
        </w:rPr>
        <w:t>composite</w:t>
      </w:r>
      <w:r>
        <w:rPr>
          <w:rFonts w:ascii="Times" w:hAnsi="Times" w:cs="Times"/>
          <w:color w:val="000000"/>
          <w:szCs w:val="20"/>
        </w:rPr>
        <w:t xml:space="preserve"> cones, domes, </w:t>
      </w:r>
      <w:r w:rsidR="00240467">
        <w:rPr>
          <w:rFonts w:ascii="Times" w:hAnsi="Times" w:cs="Times"/>
          <w:color w:val="000000"/>
          <w:szCs w:val="20"/>
        </w:rPr>
        <w:t xml:space="preserve">and </w:t>
      </w:r>
      <w:r>
        <w:rPr>
          <w:rFonts w:ascii="Times" w:hAnsi="Times" w:cs="Times"/>
          <w:color w:val="000000"/>
          <w:szCs w:val="20"/>
        </w:rPr>
        <w:t>shield volcanoes.  Each center is</w:t>
      </w:r>
      <w:r>
        <w:rPr>
          <w:rFonts w:ascii="Times" w:hAnsi="Times" w:cs="Times"/>
          <w:color w:val="000000"/>
          <w:sz w:val="20"/>
          <w:szCs w:val="20"/>
        </w:rPr>
        <w:t xml:space="preserve"> </w:t>
      </w:r>
      <w:r>
        <w:rPr>
          <w:rFonts w:ascii="Times" w:hAnsi="Times" w:cs="TimesNewRomanPSMT"/>
          <w:color w:val="141413"/>
          <w:szCs w:val="22"/>
        </w:rPr>
        <w:t xml:space="preserve">separated by </w:t>
      </w:r>
      <w:r w:rsidRPr="006B1681">
        <w:rPr>
          <w:rFonts w:ascii="Times" w:hAnsi="Times" w:cs="TimesNewRomanPSMT"/>
          <w:color w:val="141413"/>
          <w:szCs w:val="22"/>
        </w:rPr>
        <w:t xml:space="preserve">about 27 </w:t>
      </w:r>
      <w:r>
        <w:rPr>
          <w:rFonts w:ascii="Times" w:hAnsi="Times" w:cs="TimesNewRomanPSMT"/>
          <w:color w:val="141413"/>
          <w:szCs w:val="22"/>
        </w:rPr>
        <w:t>k</w:t>
      </w:r>
      <w:r w:rsidRPr="006B1681">
        <w:rPr>
          <w:rFonts w:ascii="Times" w:hAnsi="Times" w:cs="TimesNewRomanPSMT"/>
          <w:color w:val="141413"/>
          <w:szCs w:val="22"/>
        </w:rPr>
        <w:t xml:space="preserve">m </w:t>
      </w:r>
      <w:r>
        <w:rPr>
          <w:rFonts w:ascii="Times" w:hAnsi="Times" w:cs="TimesNewRomanPSMT"/>
          <w:color w:val="141413"/>
          <w:szCs w:val="22"/>
        </w:rPr>
        <w:t xml:space="preserve">from its neighbors </w:t>
      </w:r>
      <w:r w:rsidRPr="006B1681">
        <w:rPr>
          <w:rFonts w:ascii="Times" w:hAnsi="Times" w:cs="TimesNewRomanPSMT"/>
          <w:color w:val="141413"/>
          <w:szCs w:val="22"/>
        </w:rPr>
        <w:t xml:space="preserve">(Carr et al., 2003). </w:t>
      </w:r>
      <w:r>
        <w:rPr>
          <w:rFonts w:ascii="Times" w:hAnsi="Times" w:cs="TimesNewRomanPSMT"/>
          <w:color w:val="141413"/>
          <w:szCs w:val="22"/>
        </w:rPr>
        <w:t xml:space="preserve">  The interested student can learn about each of these volcanic centers by downloading &lt;CAVolcfront.xls&gt; from Prof. Mike Carr’s website </w:t>
      </w:r>
      <w:r w:rsidR="00240467">
        <w:rPr>
          <w:rFonts w:ascii="Times" w:hAnsi="Times" w:cs="TimesNewRomanPSMT"/>
          <w:color w:val="141413"/>
          <w:szCs w:val="22"/>
        </w:rPr>
        <w:t>(</w:t>
      </w:r>
      <w:hyperlink r:id="rId17" w:history="1">
        <w:r w:rsidRPr="00867284">
          <w:rPr>
            <w:rStyle w:val="Hyperlink"/>
            <w:rFonts w:ascii="Times" w:hAnsi="Times" w:cs="TimesNewRomanPSMT"/>
            <w:szCs w:val="22"/>
          </w:rPr>
          <w:t>http://rci.rutgers.edu/~carr/</w:t>
        </w:r>
      </w:hyperlink>
      <w:r w:rsidR="00240467">
        <w:rPr>
          <w:rFonts w:ascii="Times" w:hAnsi="Times" w:cs="TimesNewRomanPSMT"/>
          <w:color w:val="141413"/>
          <w:szCs w:val="22"/>
        </w:rPr>
        <w:t>)</w:t>
      </w:r>
      <w:r>
        <w:rPr>
          <w:rFonts w:ascii="Times" w:hAnsi="Times" w:cs="TimesNewRomanPSMT"/>
          <w:color w:val="141413"/>
          <w:szCs w:val="22"/>
        </w:rPr>
        <w:t xml:space="preserve">, then looking up individual volcanoes on the Smithsonian Global Volcanism webpage </w:t>
      </w:r>
      <w:r w:rsidR="00240467">
        <w:rPr>
          <w:rFonts w:ascii="Times" w:hAnsi="Times" w:cs="TimesNewRomanPSMT"/>
          <w:color w:val="141413"/>
          <w:szCs w:val="22"/>
        </w:rPr>
        <w:t>(</w:t>
      </w:r>
      <w:hyperlink r:id="rId18" w:history="1">
        <w:r w:rsidRPr="00867284">
          <w:rPr>
            <w:rStyle w:val="Hyperlink"/>
          </w:rPr>
          <w:t>http://www.volcano.si.edu/index.cfm</w:t>
        </w:r>
      </w:hyperlink>
      <w:r w:rsidR="00240467">
        <w:t>)</w:t>
      </w:r>
      <w:r>
        <w:t xml:space="preserve">.  Not all 72 of the volcanoes listed in Carr’s table have information listed in the Smithsonian compilation, only those classified as </w:t>
      </w:r>
      <w:r w:rsidRPr="00F8238B">
        <w:rPr>
          <w:i/>
        </w:rPr>
        <w:t>active</w:t>
      </w:r>
      <w:r>
        <w:t xml:space="preserve">, which in this context refers to those erupting in the last 10,000 years or so. </w:t>
      </w:r>
    </w:p>
    <w:p w14:paraId="7F5470BD" w14:textId="77777777" w:rsidR="00790596" w:rsidRDefault="00790596" w:rsidP="00240467">
      <w:pPr>
        <w:tabs>
          <w:tab w:val="left" w:pos="360"/>
        </w:tabs>
      </w:pPr>
    </w:p>
    <w:p w14:paraId="6575ED95" w14:textId="77777777" w:rsidR="002C5C14" w:rsidRDefault="002C5C14" w:rsidP="00240467">
      <w:pPr>
        <w:tabs>
          <w:tab w:val="left" w:pos="360"/>
        </w:tabs>
        <w:rPr>
          <w:rFonts w:ascii="Times" w:hAnsi="Times" w:cs="Helvetica"/>
          <w:szCs w:val="28"/>
        </w:rPr>
      </w:pPr>
      <w:r>
        <w:tab/>
      </w:r>
      <w:r w:rsidR="00314DB7" w:rsidRPr="00EF2CB1">
        <w:rPr>
          <w:rFonts w:ascii="Times" w:hAnsi="Times"/>
        </w:rPr>
        <w:t>CAVA is made up of distinctive landforms that are clearly visible at many scales</w:t>
      </w:r>
      <w:r w:rsidR="00A4397D">
        <w:rPr>
          <w:rFonts w:ascii="Times" w:hAnsi="Times"/>
        </w:rPr>
        <w:t>, so a</w:t>
      </w:r>
      <w:r w:rsidRPr="00EF2CB1">
        <w:rPr>
          <w:rFonts w:ascii="Times" w:hAnsi="Times"/>
        </w:rPr>
        <w:t xml:space="preserve"> good way to explore CAVA is to </w:t>
      </w:r>
      <w:r w:rsidRPr="00235B94">
        <w:rPr>
          <w:rFonts w:ascii="Times" w:hAnsi="Times"/>
        </w:rPr>
        <w:t>u</w:t>
      </w:r>
      <w:r w:rsidR="00314DB7" w:rsidRPr="00235B94">
        <w:rPr>
          <w:rFonts w:ascii="Times" w:hAnsi="Times"/>
        </w:rPr>
        <w:t xml:space="preserve">se GeoMapApp. </w:t>
      </w:r>
      <w:r w:rsidR="00314DB7" w:rsidRPr="00235B94">
        <w:rPr>
          <w:rFonts w:ascii="Times" w:hAnsi="Times" w:cs="Helvetica"/>
          <w:bCs/>
          <w:iCs/>
          <w:szCs w:val="28"/>
        </w:rPr>
        <w:t>GeoMapApp</w:t>
      </w:r>
      <w:r w:rsidR="00314DB7" w:rsidRPr="00235B94">
        <w:rPr>
          <w:rFonts w:ascii="Times" w:hAnsi="Times" w:cs="Helvetica"/>
          <w:szCs w:val="28"/>
        </w:rPr>
        <w:t xml:space="preserve"> is an Earth science explorati</w:t>
      </w:r>
      <w:r w:rsidR="00EF2CB1" w:rsidRPr="00235B94">
        <w:rPr>
          <w:rFonts w:ascii="Times" w:hAnsi="Times" w:cs="Helvetica"/>
          <w:szCs w:val="28"/>
        </w:rPr>
        <w:t>on and visualization tool</w:t>
      </w:r>
      <w:r w:rsidR="00314DB7" w:rsidRPr="00235B94">
        <w:rPr>
          <w:rFonts w:ascii="Times" w:hAnsi="Times" w:cs="Helvetica"/>
          <w:szCs w:val="28"/>
        </w:rPr>
        <w:t xml:space="preserve"> that is free</w:t>
      </w:r>
      <w:r w:rsidR="00EF2CB1" w:rsidRPr="00235B94">
        <w:rPr>
          <w:rFonts w:ascii="Times" w:hAnsi="Times" w:cs="Helvetica"/>
          <w:szCs w:val="28"/>
        </w:rPr>
        <w:t>ly available on the internet</w:t>
      </w:r>
      <w:r w:rsidR="00314DB7" w:rsidRPr="00235B94">
        <w:rPr>
          <w:rFonts w:ascii="Times" w:hAnsi="Times" w:cs="Helvetica"/>
          <w:szCs w:val="28"/>
        </w:rPr>
        <w:t xml:space="preserve"> and easy to use</w:t>
      </w:r>
      <w:r w:rsidR="00240467">
        <w:rPr>
          <w:rFonts w:ascii="Times" w:hAnsi="Times" w:cs="Helvetica"/>
          <w:szCs w:val="28"/>
        </w:rPr>
        <w:t xml:space="preserve"> (</w:t>
      </w:r>
      <w:hyperlink r:id="rId19" w:history="1">
        <w:r w:rsidR="00314DB7" w:rsidRPr="00235B94">
          <w:rPr>
            <w:rStyle w:val="Hyperlink"/>
            <w:rFonts w:ascii="Times" w:hAnsi="Times" w:cs="Helvetica"/>
            <w:color w:val="auto"/>
            <w:szCs w:val="28"/>
          </w:rPr>
          <w:t>http://www.geomapapp.org/</w:t>
        </w:r>
      </w:hyperlink>
      <w:r w:rsidR="00240467">
        <w:rPr>
          <w:rFonts w:ascii="Times" w:hAnsi="Times" w:cs="Helvetica"/>
          <w:szCs w:val="28"/>
        </w:rPr>
        <w:t>)</w:t>
      </w:r>
      <w:r w:rsidR="00314DB7" w:rsidRPr="00235B94">
        <w:rPr>
          <w:rFonts w:ascii="Times" w:hAnsi="Times" w:cs="Helvetica"/>
          <w:szCs w:val="28"/>
        </w:rPr>
        <w:t xml:space="preserve">.  Another good way to explore CAVA is with Google Earth, </w:t>
      </w:r>
      <w:r w:rsidR="00BE3C97">
        <w:rPr>
          <w:rFonts w:ascii="Times" w:hAnsi="Times" w:cs="Helvetica"/>
          <w:szCs w:val="28"/>
        </w:rPr>
        <w:t>which is another</w:t>
      </w:r>
      <w:r w:rsidR="00EF2CB1" w:rsidRPr="00235B94">
        <w:rPr>
          <w:rFonts w:ascii="Times" w:hAnsi="Times" w:cs="Helvetica"/>
          <w:szCs w:val="28"/>
        </w:rPr>
        <w:t xml:space="preserve"> </w:t>
      </w:r>
      <w:r w:rsidR="00314DB7" w:rsidRPr="00235B94">
        <w:rPr>
          <w:rFonts w:ascii="Times" w:hAnsi="Times" w:cs="Helvetica"/>
          <w:szCs w:val="28"/>
        </w:rPr>
        <w:t>application t</w:t>
      </w:r>
      <w:r w:rsidR="00BE3C97">
        <w:rPr>
          <w:rFonts w:ascii="Times" w:hAnsi="Times" w:cs="Helvetica"/>
          <w:szCs w:val="28"/>
        </w:rPr>
        <w:t>hat is free and easy to use (earth.google.com)</w:t>
      </w:r>
      <w:r w:rsidR="00314DB7" w:rsidRPr="00235B94">
        <w:rPr>
          <w:rFonts w:ascii="Times" w:hAnsi="Times" w:cs="Helvetica"/>
          <w:szCs w:val="28"/>
        </w:rPr>
        <w:t>. As an example of how one can use Google Earth to study CAVA, open Google Earth on your computer and in the upper left “search box”, type in “Cerro Negro</w:t>
      </w:r>
      <w:r w:rsidR="00235B94" w:rsidRPr="00235B94">
        <w:rPr>
          <w:rFonts w:ascii="Times" w:hAnsi="Times" w:cs="Helvetica"/>
          <w:szCs w:val="28"/>
        </w:rPr>
        <w:t xml:space="preserve">”; you will be transported there immediately.  </w:t>
      </w:r>
      <w:r w:rsidR="00EF2CB1" w:rsidRPr="00235B94">
        <w:rPr>
          <w:rFonts w:ascii="Times" w:hAnsi="Times" w:cs="Helvetica"/>
          <w:szCs w:val="28"/>
        </w:rPr>
        <w:t xml:space="preserve"> </w:t>
      </w:r>
      <w:r w:rsidR="007A4ED1" w:rsidRPr="00235B94">
        <w:rPr>
          <w:rFonts w:ascii="Times" w:hAnsi="Times" w:cs="Helvetica"/>
          <w:szCs w:val="28"/>
        </w:rPr>
        <w:t>(</w:t>
      </w:r>
      <w:r w:rsidR="00EF2CB1" w:rsidRPr="00235B94">
        <w:rPr>
          <w:rFonts w:ascii="Times" w:hAnsi="Times" w:cs="Helvetica"/>
          <w:szCs w:val="28"/>
        </w:rPr>
        <w:t>Cerro Negro is one of the volcanoes that we will study in Handout Part 2</w:t>
      </w:r>
      <w:r w:rsidR="007A4ED1" w:rsidRPr="00235B94">
        <w:rPr>
          <w:rFonts w:ascii="Times" w:hAnsi="Times" w:cs="Helvetica"/>
          <w:szCs w:val="28"/>
        </w:rPr>
        <w:t xml:space="preserve">, </w:t>
      </w:r>
      <w:r w:rsidR="00EF2CB1" w:rsidRPr="00235B94">
        <w:rPr>
          <w:rFonts w:ascii="Times" w:hAnsi="Times" w:cs="Helvetica"/>
          <w:szCs w:val="28"/>
        </w:rPr>
        <w:t>below). Note</w:t>
      </w:r>
      <w:r w:rsidR="00235B94" w:rsidRPr="00235B94">
        <w:rPr>
          <w:rFonts w:ascii="Times" w:hAnsi="Times" w:cs="Helvetica"/>
          <w:szCs w:val="28"/>
        </w:rPr>
        <w:t xml:space="preserve"> on the Google Earth image</w:t>
      </w:r>
      <w:r w:rsidR="00EF2CB1" w:rsidRPr="00235B94">
        <w:rPr>
          <w:rFonts w:ascii="Times" w:hAnsi="Times" w:cs="Helvetica"/>
          <w:szCs w:val="28"/>
        </w:rPr>
        <w:t xml:space="preserve"> there are many icons (little blue squares) where people have posted their ground photos.  You can take your own field trip by clicking on one icon after another!</w:t>
      </w:r>
    </w:p>
    <w:p w14:paraId="780F97C8" w14:textId="77777777" w:rsidR="00F07C2F" w:rsidRDefault="00F07C2F" w:rsidP="00240467">
      <w:pPr>
        <w:tabs>
          <w:tab w:val="left" w:pos="360"/>
        </w:tabs>
        <w:rPr>
          <w:rFonts w:ascii="Times" w:hAnsi="Times" w:cs="Helvetica"/>
          <w:szCs w:val="28"/>
        </w:rPr>
      </w:pPr>
    </w:p>
    <w:p w14:paraId="093ED30A" w14:textId="34738840" w:rsidR="00F07C2F" w:rsidRPr="00F07C2F" w:rsidRDefault="00F07C2F" w:rsidP="00240467">
      <w:pPr>
        <w:tabs>
          <w:tab w:val="left" w:pos="360"/>
        </w:tabs>
        <w:rPr>
          <w:rFonts w:ascii="Times" w:hAnsi="Times" w:cs="Helvetica"/>
          <w:b/>
          <w:szCs w:val="28"/>
        </w:rPr>
      </w:pPr>
      <w:r w:rsidRPr="00F07C2F">
        <w:rPr>
          <w:rFonts w:ascii="Times" w:hAnsi="Times" w:cs="Helvetica"/>
          <w:b/>
          <w:szCs w:val="28"/>
        </w:rPr>
        <w:t>References</w:t>
      </w:r>
    </w:p>
    <w:p w14:paraId="1F18708E" w14:textId="77777777" w:rsidR="00F07C2F" w:rsidRDefault="00F07C2F" w:rsidP="00240467">
      <w:pPr>
        <w:tabs>
          <w:tab w:val="left" w:pos="360"/>
        </w:tabs>
        <w:rPr>
          <w:rFonts w:ascii="Times" w:hAnsi="Times"/>
        </w:rPr>
      </w:pPr>
    </w:p>
    <w:p w14:paraId="4A32D204" w14:textId="71A7EDE9" w:rsidR="00F07C2F" w:rsidRDefault="00F07C2F" w:rsidP="00240467">
      <w:pPr>
        <w:tabs>
          <w:tab w:val="left" w:pos="360"/>
        </w:tabs>
        <w:rPr>
          <w:rFonts w:ascii="Times" w:hAnsi="Times"/>
        </w:rPr>
      </w:pPr>
      <w:r w:rsidRPr="00F07C2F">
        <w:rPr>
          <w:rFonts w:ascii="Times" w:hAnsi="Times"/>
        </w:rPr>
        <w:t xml:space="preserve">MacKenzie, Laura S., et al. "Imaging a steeply dipping subducting slab in Southern Central America." </w:t>
      </w:r>
      <w:r w:rsidRPr="00F07C2F">
        <w:rPr>
          <w:rFonts w:ascii="Times" w:hAnsi="Times"/>
          <w:i/>
          <w:iCs/>
        </w:rPr>
        <w:t>Earth and Planetary Science Letters</w:t>
      </w:r>
      <w:r w:rsidRPr="00F07C2F">
        <w:rPr>
          <w:rFonts w:ascii="Times" w:hAnsi="Times"/>
        </w:rPr>
        <w:t xml:space="preserve"> 296.3 (2010): 459-468</w:t>
      </w:r>
    </w:p>
    <w:p w14:paraId="071BEFE4" w14:textId="77777777" w:rsidR="00F07C2F" w:rsidRDefault="00F07C2F" w:rsidP="00240467">
      <w:pPr>
        <w:tabs>
          <w:tab w:val="left" w:pos="360"/>
        </w:tabs>
        <w:rPr>
          <w:rFonts w:ascii="Times" w:hAnsi="Times"/>
        </w:rPr>
      </w:pPr>
    </w:p>
    <w:p w14:paraId="55CEC4DC" w14:textId="37AED45D" w:rsidR="00F07C2F" w:rsidRPr="00EF2CB1" w:rsidRDefault="00F07C2F" w:rsidP="00240467">
      <w:pPr>
        <w:tabs>
          <w:tab w:val="left" w:pos="360"/>
        </w:tabs>
        <w:rPr>
          <w:rFonts w:ascii="Times" w:hAnsi="Times"/>
        </w:rPr>
      </w:pPr>
      <w:r w:rsidRPr="00F07C2F">
        <w:rPr>
          <w:rFonts w:ascii="Times" w:hAnsi="Times"/>
        </w:rPr>
        <w:t>Syracuse, E. M., and G. A. Abers (2006), Global compilation of variations in slab depth beneath arc volcanoes and implications, Geochem. Geophys. Geosyst., 7, Q05017, doi:</w:t>
      </w:r>
      <w:hyperlink r:id="rId20" w:history="1">
        <w:r w:rsidRPr="00F07C2F">
          <w:rPr>
            <w:rStyle w:val="Hyperlink"/>
            <w:rFonts w:ascii="Times" w:hAnsi="Times"/>
          </w:rPr>
          <w:t>10.1029/2005GC001045</w:t>
        </w:r>
      </w:hyperlink>
    </w:p>
    <w:sectPr w:rsidR="00F07C2F" w:rsidRPr="00EF2CB1" w:rsidSect="000C0A2B">
      <w:headerReference w:type="default" r:id="rId21"/>
      <w:footerReference w:type="even" r:id="rId22"/>
      <w:footerReference w:type="default" r:id="rId23"/>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5AF8A" w14:textId="77777777" w:rsidR="001A259E" w:rsidRDefault="001A259E">
      <w:r>
        <w:separator/>
      </w:r>
    </w:p>
  </w:endnote>
  <w:endnote w:type="continuationSeparator" w:id="0">
    <w:p w14:paraId="1E8AD550" w14:textId="77777777" w:rsidR="001A259E" w:rsidRDefault="001A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C3B8" w14:textId="77777777" w:rsidR="001A259E" w:rsidRDefault="001A259E" w:rsidP="000C0A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741E3" w14:textId="77777777" w:rsidR="001A259E" w:rsidRDefault="001A259E" w:rsidP="000C0A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7F6E6" w14:textId="77777777" w:rsidR="001A259E" w:rsidRDefault="001A259E" w:rsidP="000C0A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3E2C">
      <w:rPr>
        <w:rStyle w:val="PageNumber"/>
        <w:noProof/>
      </w:rPr>
      <w:t>1</w:t>
    </w:r>
    <w:r>
      <w:rPr>
        <w:rStyle w:val="PageNumber"/>
      </w:rPr>
      <w:fldChar w:fldCharType="end"/>
    </w:r>
  </w:p>
  <w:p w14:paraId="5D97C126" w14:textId="77777777" w:rsidR="001A259E" w:rsidRDefault="001A259E" w:rsidP="000C0A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08C78" w14:textId="77777777" w:rsidR="001A259E" w:rsidRDefault="001A259E">
      <w:r>
        <w:separator/>
      </w:r>
    </w:p>
  </w:footnote>
  <w:footnote w:type="continuationSeparator" w:id="0">
    <w:p w14:paraId="6276B2B3" w14:textId="77777777" w:rsidR="001A259E" w:rsidRDefault="001A25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96446" w14:textId="77777777" w:rsidR="001A259E" w:rsidRPr="00652DBD" w:rsidRDefault="001A259E" w:rsidP="00E33A58">
    <w:pPr>
      <w:jc w:val="center"/>
      <w:rPr>
        <w:b/>
      </w:rPr>
    </w:pPr>
    <w:r>
      <w:br w:type="page"/>
    </w:r>
    <w:r>
      <w:rPr>
        <w:b/>
      </w:rPr>
      <w:t>Lavas of the</w:t>
    </w:r>
    <w:r w:rsidRPr="00652DBD">
      <w:rPr>
        <w:b/>
      </w:rPr>
      <w:t xml:space="preserve"> Central America</w:t>
    </w:r>
    <w:r>
      <w:rPr>
        <w:b/>
      </w:rPr>
      <w:t>n Arc (Handout Part One)</w:t>
    </w:r>
  </w:p>
  <w:p w14:paraId="4BC88102" w14:textId="77777777" w:rsidR="001A259E" w:rsidRDefault="001A25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812C1"/>
    <w:multiLevelType w:val="hybridMultilevel"/>
    <w:tmpl w:val="448A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E975AC"/>
    <w:multiLevelType w:val="hybridMultilevel"/>
    <w:tmpl w:val="4F04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822F0E"/>
    <w:multiLevelType w:val="hybridMultilevel"/>
    <w:tmpl w:val="CBAC3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FA365B"/>
    <w:multiLevelType w:val="hybridMultilevel"/>
    <w:tmpl w:val="C8D8BA74"/>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625381"/>
    <w:multiLevelType w:val="hybridMultilevel"/>
    <w:tmpl w:val="C8D8BA74"/>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CE4D6A"/>
    <w:multiLevelType w:val="hybridMultilevel"/>
    <w:tmpl w:val="18BC45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95B5B22"/>
    <w:multiLevelType w:val="hybridMultilevel"/>
    <w:tmpl w:val="CC10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DBD"/>
    <w:rsid w:val="00000CED"/>
    <w:rsid w:val="00002909"/>
    <w:rsid w:val="0001688C"/>
    <w:rsid w:val="00020220"/>
    <w:rsid w:val="00021AEB"/>
    <w:rsid w:val="0005721E"/>
    <w:rsid w:val="000671D1"/>
    <w:rsid w:val="000829FD"/>
    <w:rsid w:val="00095C83"/>
    <w:rsid w:val="000A748B"/>
    <w:rsid w:val="000C0A2B"/>
    <w:rsid w:val="000D3EE4"/>
    <w:rsid w:val="000E09CF"/>
    <w:rsid w:val="000E3797"/>
    <w:rsid w:val="000F11EE"/>
    <w:rsid w:val="000F78E0"/>
    <w:rsid w:val="00106856"/>
    <w:rsid w:val="001073A4"/>
    <w:rsid w:val="00110DBA"/>
    <w:rsid w:val="0013458A"/>
    <w:rsid w:val="001379F2"/>
    <w:rsid w:val="0015448D"/>
    <w:rsid w:val="00167B13"/>
    <w:rsid w:val="00176D08"/>
    <w:rsid w:val="00186FC1"/>
    <w:rsid w:val="001937DF"/>
    <w:rsid w:val="00195E8E"/>
    <w:rsid w:val="001A2458"/>
    <w:rsid w:val="001A259E"/>
    <w:rsid w:val="001A2646"/>
    <w:rsid w:val="001A51A5"/>
    <w:rsid w:val="001B08E2"/>
    <w:rsid w:val="001F2ED5"/>
    <w:rsid w:val="00206396"/>
    <w:rsid w:val="002323CA"/>
    <w:rsid w:val="00235B94"/>
    <w:rsid w:val="00240467"/>
    <w:rsid w:val="00251672"/>
    <w:rsid w:val="00253B43"/>
    <w:rsid w:val="00260EDE"/>
    <w:rsid w:val="0027356D"/>
    <w:rsid w:val="00275509"/>
    <w:rsid w:val="002B78AA"/>
    <w:rsid w:val="002C139B"/>
    <w:rsid w:val="002C5C14"/>
    <w:rsid w:val="002D57F0"/>
    <w:rsid w:val="002D7647"/>
    <w:rsid w:val="002E622F"/>
    <w:rsid w:val="002F08B4"/>
    <w:rsid w:val="002F1E78"/>
    <w:rsid w:val="00300B23"/>
    <w:rsid w:val="00314DB7"/>
    <w:rsid w:val="003212CC"/>
    <w:rsid w:val="00323620"/>
    <w:rsid w:val="00331CDC"/>
    <w:rsid w:val="00332CAB"/>
    <w:rsid w:val="00344179"/>
    <w:rsid w:val="0036559D"/>
    <w:rsid w:val="00381A84"/>
    <w:rsid w:val="00385964"/>
    <w:rsid w:val="003A3535"/>
    <w:rsid w:val="003A516C"/>
    <w:rsid w:val="003B70FA"/>
    <w:rsid w:val="004028AB"/>
    <w:rsid w:val="004223AD"/>
    <w:rsid w:val="00452D95"/>
    <w:rsid w:val="00464A66"/>
    <w:rsid w:val="00465B13"/>
    <w:rsid w:val="0047353F"/>
    <w:rsid w:val="0047779B"/>
    <w:rsid w:val="00487A24"/>
    <w:rsid w:val="004936F3"/>
    <w:rsid w:val="0049420D"/>
    <w:rsid w:val="004D1370"/>
    <w:rsid w:val="004E6858"/>
    <w:rsid w:val="004E6B7E"/>
    <w:rsid w:val="00503018"/>
    <w:rsid w:val="005133AE"/>
    <w:rsid w:val="005151F3"/>
    <w:rsid w:val="00524B05"/>
    <w:rsid w:val="0054385E"/>
    <w:rsid w:val="00552035"/>
    <w:rsid w:val="00560287"/>
    <w:rsid w:val="00570377"/>
    <w:rsid w:val="0058559D"/>
    <w:rsid w:val="00592A66"/>
    <w:rsid w:val="005932A6"/>
    <w:rsid w:val="00596D0B"/>
    <w:rsid w:val="005B428F"/>
    <w:rsid w:val="005B5AEC"/>
    <w:rsid w:val="005C0C56"/>
    <w:rsid w:val="005E18E0"/>
    <w:rsid w:val="005E3FD3"/>
    <w:rsid w:val="005F377E"/>
    <w:rsid w:val="00635B97"/>
    <w:rsid w:val="00652DBD"/>
    <w:rsid w:val="0066028B"/>
    <w:rsid w:val="00681367"/>
    <w:rsid w:val="006967B5"/>
    <w:rsid w:val="006A5EC4"/>
    <w:rsid w:val="006A7DB9"/>
    <w:rsid w:val="006B6437"/>
    <w:rsid w:val="006F0022"/>
    <w:rsid w:val="00705038"/>
    <w:rsid w:val="00732E5B"/>
    <w:rsid w:val="00735873"/>
    <w:rsid w:val="00754305"/>
    <w:rsid w:val="00761E34"/>
    <w:rsid w:val="00764069"/>
    <w:rsid w:val="00780AE0"/>
    <w:rsid w:val="00781796"/>
    <w:rsid w:val="00783310"/>
    <w:rsid w:val="00786CE5"/>
    <w:rsid w:val="00790596"/>
    <w:rsid w:val="00793109"/>
    <w:rsid w:val="007937F2"/>
    <w:rsid w:val="007939BE"/>
    <w:rsid w:val="007A4ED1"/>
    <w:rsid w:val="007B7B8E"/>
    <w:rsid w:val="007C7708"/>
    <w:rsid w:val="007D2CA9"/>
    <w:rsid w:val="007E2688"/>
    <w:rsid w:val="00800D5B"/>
    <w:rsid w:val="00801589"/>
    <w:rsid w:val="008026FE"/>
    <w:rsid w:val="0080405B"/>
    <w:rsid w:val="00807CE9"/>
    <w:rsid w:val="0081100B"/>
    <w:rsid w:val="00812B06"/>
    <w:rsid w:val="00814DAC"/>
    <w:rsid w:val="00826D4B"/>
    <w:rsid w:val="00835B9A"/>
    <w:rsid w:val="00862472"/>
    <w:rsid w:val="0086276C"/>
    <w:rsid w:val="00865564"/>
    <w:rsid w:val="008755BF"/>
    <w:rsid w:val="008951B2"/>
    <w:rsid w:val="00897C35"/>
    <w:rsid w:val="008B3A7D"/>
    <w:rsid w:val="008C2803"/>
    <w:rsid w:val="008C4773"/>
    <w:rsid w:val="008C7B28"/>
    <w:rsid w:val="008D53EB"/>
    <w:rsid w:val="008D60E6"/>
    <w:rsid w:val="008E4FF0"/>
    <w:rsid w:val="0091281E"/>
    <w:rsid w:val="00916FE7"/>
    <w:rsid w:val="00931FC0"/>
    <w:rsid w:val="0094500D"/>
    <w:rsid w:val="00974B09"/>
    <w:rsid w:val="009809DB"/>
    <w:rsid w:val="00994016"/>
    <w:rsid w:val="00997412"/>
    <w:rsid w:val="009B336F"/>
    <w:rsid w:val="009F071F"/>
    <w:rsid w:val="00A20C6E"/>
    <w:rsid w:val="00A319F3"/>
    <w:rsid w:val="00A42FFF"/>
    <w:rsid w:val="00A4397D"/>
    <w:rsid w:val="00A4564E"/>
    <w:rsid w:val="00A71B9D"/>
    <w:rsid w:val="00A72769"/>
    <w:rsid w:val="00A84AE4"/>
    <w:rsid w:val="00A9165D"/>
    <w:rsid w:val="00A939D2"/>
    <w:rsid w:val="00AA3364"/>
    <w:rsid w:val="00AB0A17"/>
    <w:rsid w:val="00AD671C"/>
    <w:rsid w:val="00AE4230"/>
    <w:rsid w:val="00AF5EAD"/>
    <w:rsid w:val="00B02343"/>
    <w:rsid w:val="00B17AD0"/>
    <w:rsid w:val="00B24A43"/>
    <w:rsid w:val="00B32C11"/>
    <w:rsid w:val="00B33489"/>
    <w:rsid w:val="00B40190"/>
    <w:rsid w:val="00B4441A"/>
    <w:rsid w:val="00B519C0"/>
    <w:rsid w:val="00B631B3"/>
    <w:rsid w:val="00B63CB4"/>
    <w:rsid w:val="00B64D7A"/>
    <w:rsid w:val="00BB1119"/>
    <w:rsid w:val="00BC3253"/>
    <w:rsid w:val="00BE01BB"/>
    <w:rsid w:val="00BE3C97"/>
    <w:rsid w:val="00BE55B3"/>
    <w:rsid w:val="00BF54BE"/>
    <w:rsid w:val="00C056C5"/>
    <w:rsid w:val="00C36446"/>
    <w:rsid w:val="00C5122E"/>
    <w:rsid w:val="00C515C6"/>
    <w:rsid w:val="00C6092D"/>
    <w:rsid w:val="00C70478"/>
    <w:rsid w:val="00C83E2C"/>
    <w:rsid w:val="00CA4BAB"/>
    <w:rsid w:val="00CA7768"/>
    <w:rsid w:val="00CB5167"/>
    <w:rsid w:val="00CE4F08"/>
    <w:rsid w:val="00D00568"/>
    <w:rsid w:val="00D20C44"/>
    <w:rsid w:val="00D32651"/>
    <w:rsid w:val="00D33D0E"/>
    <w:rsid w:val="00D361FF"/>
    <w:rsid w:val="00D62A76"/>
    <w:rsid w:val="00D772E2"/>
    <w:rsid w:val="00D931D6"/>
    <w:rsid w:val="00DB4D14"/>
    <w:rsid w:val="00DC232F"/>
    <w:rsid w:val="00DE16D3"/>
    <w:rsid w:val="00DF0819"/>
    <w:rsid w:val="00DF5663"/>
    <w:rsid w:val="00E004DA"/>
    <w:rsid w:val="00E0459F"/>
    <w:rsid w:val="00E068DC"/>
    <w:rsid w:val="00E1561C"/>
    <w:rsid w:val="00E32CE0"/>
    <w:rsid w:val="00E32D83"/>
    <w:rsid w:val="00E33A58"/>
    <w:rsid w:val="00E53C2D"/>
    <w:rsid w:val="00E53DA5"/>
    <w:rsid w:val="00E87701"/>
    <w:rsid w:val="00E940C0"/>
    <w:rsid w:val="00EA3A36"/>
    <w:rsid w:val="00ED470C"/>
    <w:rsid w:val="00EE0DD1"/>
    <w:rsid w:val="00EE1098"/>
    <w:rsid w:val="00EF2B7B"/>
    <w:rsid w:val="00EF2CB1"/>
    <w:rsid w:val="00EF36DF"/>
    <w:rsid w:val="00F07C2F"/>
    <w:rsid w:val="00F15D6E"/>
    <w:rsid w:val="00F20802"/>
    <w:rsid w:val="00F42FB1"/>
    <w:rsid w:val="00F7783C"/>
    <w:rsid w:val="00F81838"/>
    <w:rsid w:val="00F9154D"/>
    <w:rsid w:val="00F91BB9"/>
    <w:rsid w:val="00FA3C2E"/>
    <w:rsid w:val="00FB0CEB"/>
    <w:rsid w:val="00FB5BBF"/>
    <w:rsid w:val="00FF351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C3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361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F51EC1"/>
  </w:style>
  <w:style w:type="paragraph" w:styleId="Footer">
    <w:name w:val="footer"/>
    <w:basedOn w:val="Normal"/>
    <w:rsid w:val="00F51EC1"/>
    <w:pPr>
      <w:tabs>
        <w:tab w:val="center" w:pos="4320"/>
        <w:tab w:val="right" w:pos="8640"/>
      </w:tabs>
    </w:pPr>
  </w:style>
  <w:style w:type="character" w:styleId="PageNumber">
    <w:name w:val="page number"/>
    <w:basedOn w:val="DefaultParagraphFont"/>
    <w:rsid w:val="00F51EC1"/>
  </w:style>
  <w:style w:type="character" w:styleId="Strong">
    <w:name w:val="Strong"/>
    <w:qFormat/>
    <w:rsid w:val="003422F8"/>
    <w:rPr>
      <w:b/>
      <w:bCs/>
    </w:rPr>
  </w:style>
  <w:style w:type="character" w:styleId="Hyperlink">
    <w:name w:val="Hyperlink"/>
    <w:rsid w:val="0072383B"/>
    <w:rPr>
      <w:color w:val="0000FF"/>
      <w:u w:val="single"/>
    </w:rPr>
  </w:style>
  <w:style w:type="paragraph" w:styleId="Header">
    <w:name w:val="header"/>
    <w:basedOn w:val="Normal"/>
    <w:rsid w:val="00DA2399"/>
    <w:pPr>
      <w:tabs>
        <w:tab w:val="center" w:pos="4320"/>
        <w:tab w:val="right" w:pos="8640"/>
      </w:tabs>
    </w:pPr>
  </w:style>
  <w:style w:type="character" w:styleId="HTMLCite">
    <w:name w:val="HTML Cite"/>
    <w:uiPriority w:val="99"/>
    <w:unhideWhenUsed/>
    <w:rsid w:val="00C3542A"/>
    <w:rPr>
      <w:i/>
      <w:iCs/>
    </w:rPr>
  </w:style>
  <w:style w:type="paragraph" w:styleId="BalloonText">
    <w:name w:val="Balloon Text"/>
    <w:basedOn w:val="Normal"/>
    <w:link w:val="BalloonTextChar"/>
    <w:rsid w:val="0064014C"/>
    <w:rPr>
      <w:rFonts w:ascii="Lucida Grande" w:hAnsi="Lucida Grande"/>
      <w:sz w:val="18"/>
      <w:szCs w:val="18"/>
    </w:rPr>
  </w:style>
  <w:style w:type="character" w:customStyle="1" w:styleId="BalloonTextChar">
    <w:name w:val="Balloon Text Char"/>
    <w:link w:val="BalloonText"/>
    <w:rsid w:val="0064014C"/>
    <w:rPr>
      <w:rFonts w:ascii="Lucida Grande" w:hAnsi="Lucida Grande"/>
      <w:sz w:val="18"/>
      <w:szCs w:val="18"/>
    </w:rPr>
  </w:style>
  <w:style w:type="paragraph" w:styleId="NormalWeb">
    <w:name w:val="Normal (Web)"/>
    <w:basedOn w:val="Normal"/>
    <w:uiPriority w:val="99"/>
    <w:rsid w:val="00FD3D88"/>
    <w:pPr>
      <w:spacing w:beforeLines="1" w:afterLines="1"/>
    </w:pPr>
    <w:rPr>
      <w:rFonts w:ascii="Times" w:hAnsi="Times"/>
      <w:sz w:val="20"/>
      <w:szCs w:val="20"/>
    </w:rPr>
  </w:style>
  <w:style w:type="character" w:styleId="FollowedHyperlink">
    <w:name w:val="FollowedHyperlink"/>
    <w:basedOn w:val="DefaultParagraphFont"/>
    <w:rsid w:val="00FD3D88"/>
    <w:rPr>
      <w:color w:val="800080"/>
      <w:u w:val="single"/>
    </w:rPr>
  </w:style>
  <w:style w:type="table" w:styleId="TableGrid">
    <w:name w:val="Table Grid"/>
    <w:basedOn w:val="TableNormal"/>
    <w:rsid w:val="008627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B33489"/>
    <w:pPr>
      <w:ind w:left="720"/>
      <w:contextualSpacing/>
    </w:pPr>
  </w:style>
  <w:style w:type="paragraph" w:styleId="Revision">
    <w:name w:val="Revision"/>
    <w:hidden/>
    <w:rsid w:val="00464A6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361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F51EC1"/>
  </w:style>
  <w:style w:type="paragraph" w:styleId="Footer">
    <w:name w:val="footer"/>
    <w:basedOn w:val="Normal"/>
    <w:rsid w:val="00F51EC1"/>
    <w:pPr>
      <w:tabs>
        <w:tab w:val="center" w:pos="4320"/>
        <w:tab w:val="right" w:pos="8640"/>
      </w:tabs>
    </w:pPr>
  </w:style>
  <w:style w:type="character" w:styleId="PageNumber">
    <w:name w:val="page number"/>
    <w:basedOn w:val="DefaultParagraphFont"/>
    <w:rsid w:val="00F51EC1"/>
  </w:style>
  <w:style w:type="character" w:styleId="Strong">
    <w:name w:val="Strong"/>
    <w:qFormat/>
    <w:rsid w:val="003422F8"/>
    <w:rPr>
      <w:b/>
      <w:bCs/>
    </w:rPr>
  </w:style>
  <w:style w:type="character" w:styleId="Hyperlink">
    <w:name w:val="Hyperlink"/>
    <w:rsid w:val="0072383B"/>
    <w:rPr>
      <w:color w:val="0000FF"/>
      <w:u w:val="single"/>
    </w:rPr>
  </w:style>
  <w:style w:type="paragraph" w:styleId="Header">
    <w:name w:val="header"/>
    <w:basedOn w:val="Normal"/>
    <w:rsid w:val="00DA2399"/>
    <w:pPr>
      <w:tabs>
        <w:tab w:val="center" w:pos="4320"/>
        <w:tab w:val="right" w:pos="8640"/>
      </w:tabs>
    </w:pPr>
  </w:style>
  <w:style w:type="character" w:styleId="HTMLCite">
    <w:name w:val="HTML Cite"/>
    <w:uiPriority w:val="99"/>
    <w:unhideWhenUsed/>
    <w:rsid w:val="00C3542A"/>
    <w:rPr>
      <w:i/>
      <w:iCs/>
    </w:rPr>
  </w:style>
  <w:style w:type="paragraph" w:styleId="BalloonText">
    <w:name w:val="Balloon Text"/>
    <w:basedOn w:val="Normal"/>
    <w:link w:val="BalloonTextChar"/>
    <w:rsid w:val="0064014C"/>
    <w:rPr>
      <w:rFonts w:ascii="Lucida Grande" w:hAnsi="Lucida Grande"/>
      <w:sz w:val="18"/>
      <w:szCs w:val="18"/>
    </w:rPr>
  </w:style>
  <w:style w:type="character" w:customStyle="1" w:styleId="BalloonTextChar">
    <w:name w:val="Balloon Text Char"/>
    <w:link w:val="BalloonText"/>
    <w:rsid w:val="0064014C"/>
    <w:rPr>
      <w:rFonts w:ascii="Lucida Grande" w:hAnsi="Lucida Grande"/>
      <w:sz w:val="18"/>
      <w:szCs w:val="18"/>
    </w:rPr>
  </w:style>
  <w:style w:type="paragraph" w:styleId="NormalWeb">
    <w:name w:val="Normal (Web)"/>
    <w:basedOn w:val="Normal"/>
    <w:uiPriority w:val="99"/>
    <w:rsid w:val="00FD3D88"/>
    <w:pPr>
      <w:spacing w:beforeLines="1" w:afterLines="1"/>
    </w:pPr>
    <w:rPr>
      <w:rFonts w:ascii="Times" w:hAnsi="Times"/>
      <w:sz w:val="20"/>
      <w:szCs w:val="20"/>
    </w:rPr>
  </w:style>
  <w:style w:type="character" w:styleId="FollowedHyperlink">
    <w:name w:val="FollowedHyperlink"/>
    <w:basedOn w:val="DefaultParagraphFont"/>
    <w:rsid w:val="00FD3D88"/>
    <w:rPr>
      <w:color w:val="800080"/>
      <w:u w:val="single"/>
    </w:rPr>
  </w:style>
  <w:style w:type="table" w:styleId="TableGrid">
    <w:name w:val="Table Grid"/>
    <w:basedOn w:val="TableNormal"/>
    <w:rsid w:val="008627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B33489"/>
    <w:pPr>
      <w:ind w:left="720"/>
      <w:contextualSpacing/>
    </w:pPr>
  </w:style>
  <w:style w:type="paragraph" w:styleId="Revision">
    <w:name w:val="Revision"/>
    <w:hidden/>
    <w:rsid w:val="00464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36230">
      <w:bodyDiv w:val="1"/>
      <w:marLeft w:val="0"/>
      <w:marRight w:val="0"/>
      <w:marTop w:val="0"/>
      <w:marBottom w:val="0"/>
      <w:divBdr>
        <w:top w:val="none" w:sz="0" w:space="0" w:color="auto"/>
        <w:left w:val="none" w:sz="0" w:space="0" w:color="auto"/>
        <w:bottom w:val="none" w:sz="0" w:space="0" w:color="auto"/>
        <w:right w:val="none" w:sz="0" w:space="0" w:color="auto"/>
      </w:divBdr>
    </w:div>
    <w:div w:id="55885683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dx.doi.org/10.1029/2005GC001045"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eb.ics.purdue.edu/~ecalais/haiti/context/"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hyperlink" Target="http://rci.rutgers.edu/~carr/" TargetMode="External"/><Relationship Id="rId18" Type="http://schemas.openxmlformats.org/officeDocument/2006/relationships/hyperlink" Target="http://www.volcano.si.edu/index.cfm" TargetMode="External"/><Relationship Id="rId19" Type="http://schemas.openxmlformats.org/officeDocument/2006/relationships/hyperlink" Target="http://www.geomapapp.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2455</Words>
  <Characters>13995</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Margins mini lesson: Volcanoes and lavas of Central America</vt:lpstr>
    </vt:vector>
  </TitlesOfParts>
  <Manager/>
  <Company>UT Dallas</Company>
  <LinksUpToDate>false</LinksUpToDate>
  <CharactersWithSpaces>16418</CharactersWithSpaces>
  <SharedDoc>false</SharedDoc>
  <HyperlinkBase/>
  <HLinks>
    <vt:vector size="84" baseType="variant">
      <vt:variant>
        <vt:i4>3276850</vt:i4>
      </vt:variant>
      <vt:variant>
        <vt:i4>18</vt:i4>
      </vt:variant>
      <vt:variant>
        <vt:i4>0</vt:i4>
      </vt:variant>
      <vt:variant>
        <vt:i4>5</vt:i4>
      </vt:variant>
      <vt:variant>
        <vt:lpwstr>http://dx.doi.org/10.1029/2005GC001045</vt:lpwstr>
      </vt:variant>
      <vt:variant>
        <vt:lpwstr/>
      </vt:variant>
      <vt:variant>
        <vt:i4>327684</vt:i4>
      </vt:variant>
      <vt:variant>
        <vt:i4>15</vt:i4>
      </vt:variant>
      <vt:variant>
        <vt:i4>0</vt:i4>
      </vt:variant>
      <vt:variant>
        <vt:i4>5</vt:i4>
      </vt:variant>
      <vt:variant>
        <vt:lpwstr>http://www.volcano.si.edu/world/</vt:lpwstr>
      </vt:variant>
      <vt:variant>
        <vt:lpwstr/>
      </vt:variant>
      <vt:variant>
        <vt:i4>5963819</vt:i4>
      </vt:variant>
      <vt:variant>
        <vt:i4>12</vt:i4>
      </vt:variant>
      <vt:variant>
        <vt:i4>0</vt:i4>
      </vt:variant>
      <vt:variant>
        <vt:i4>5</vt:i4>
      </vt:variant>
      <vt:variant>
        <vt:lpwstr>http://www.geomapapp.org/</vt:lpwstr>
      </vt:variant>
      <vt:variant>
        <vt:lpwstr/>
      </vt:variant>
      <vt:variant>
        <vt:i4>6946846</vt:i4>
      </vt:variant>
      <vt:variant>
        <vt:i4>9</vt:i4>
      </vt:variant>
      <vt:variant>
        <vt:i4>0</vt:i4>
      </vt:variant>
      <vt:variant>
        <vt:i4>5</vt:i4>
      </vt:variant>
      <vt:variant>
        <vt:lpwstr>http://www.volcano.si.edu/index.cfm</vt:lpwstr>
      </vt:variant>
      <vt:variant>
        <vt:lpwstr/>
      </vt:variant>
      <vt:variant>
        <vt:i4>6094975</vt:i4>
      </vt:variant>
      <vt:variant>
        <vt:i4>6</vt:i4>
      </vt:variant>
      <vt:variant>
        <vt:i4>0</vt:i4>
      </vt:variant>
      <vt:variant>
        <vt:i4>5</vt:i4>
      </vt:variant>
      <vt:variant>
        <vt:lpwstr>http://rci.rutgers.edu/~carr/</vt:lpwstr>
      </vt:variant>
      <vt:variant>
        <vt:lpwstr/>
      </vt:variant>
      <vt:variant>
        <vt:i4>5505066</vt:i4>
      </vt:variant>
      <vt:variant>
        <vt:i4>3</vt:i4>
      </vt:variant>
      <vt:variant>
        <vt:i4>0</vt:i4>
      </vt:variant>
      <vt:variant>
        <vt:i4>5</vt:i4>
      </vt:variant>
      <vt:variant>
        <vt:lpwstr>http://web.ics.purdue.edu/~ecalais/haiti/context/</vt:lpwstr>
      </vt:variant>
      <vt:variant>
        <vt:lpwstr/>
      </vt:variant>
      <vt:variant>
        <vt:i4>4259924</vt:i4>
      </vt:variant>
      <vt:variant>
        <vt:i4>0</vt:i4>
      </vt:variant>
      <vt:variant>
        <vt:i4>0</vt:i4>
      </vt:variant>
      <vt:variant>
        <vt:i4>5</vt:i4>
      </vt:variant>
      <vt:variant>
        <vt:lpwstr>http://serc.carleton.edu/margins/collection.html</vt:lpwstr>
      </vt:variant>
      <vt:variant>
        <vt:lpwstr/>
      </vt:variant>
      <vt:variant>
        <vt:i4>8192022</vt:i4>
      </vt:variant>
      <vt:variant>
        <vt:i4>8308</vt:i4>
      </vt:variant>
      <vt:variant>
        <vt:i4>1026</vt:i4>
      </vt:variant>
      <vt:variant>
        <vt:i4>1</vt:i4>
      </vt:variant>
      <vt:variant>
        <vt:lpwstr>TectonicTAS</vt:lpwstr>
      </vt:variant>
      <vt:variant>
        <vt:lpwstr/>
      </vt:variant>
      <vt:variant>
        <vt:i4>3932208</vt:i4>
      </vt:variant>
      <vt:variant>
        <vt:i4>9784</vt:i4>
      </vt:variant>
      <vt:variant>
        <vt:i4>1027</vt:i4>
      </vt:variant>
      <vt:variant>
        <vt:i4>1</vt:i4>
      </vt:variant>
      <vt:variant>
        <vt:lpwstr>Fig-1X</vt:lpwstr>
      </vt:variant>
      <vt:variant>
        <vt:lpwstr/>
      </vt:variant>
      <vt:variant>
        <vt:i4>3342422</vt:i4>
      </vt:variant>
      <vt:variant>
        <vt:i4>12348</vt:i4>
      </vt:variant>
      <vt:variant>
        <vt:i4>1028</vt:i4>
      </vt:variant>
      <vt:variant>
        <vt:i4>1</vt:i4>
      </vt:variant>
      <vt:variant>
        <vt:lpwstr>CentAM-SubZone-(simple)</vt:lpwstr>
      </vt:variant>
      <vt:variant>
        <vt:lpwstr/>
      </vt:variant>
      <vt:variant>
        <vt:i4>917601</vt:i4>
      </vt:variant>
      <vt:variant>
        <vt:i4>12899</vt:i4>
      </vt:variant>
      <vt:variant>
        <vt:i4>1030</vt:i4>
      </vt:variant>
      <vt:variant>
        <vt:i4>1</vt:i4>
      </vt:variant>
      <vt:variant>
        <vt:lpwstr>mapcentralamerica</vt:lpwstr>
      </vt:variant>
      <vt:variant>
        <vt:lpwstr/>
      </vt:variant>
      <vt:variant>
        <vt:i4>5898245</vt:i4>
      </vt:variant>
      <vt:variant>
        <vt:i4>13716</vt:i4>
      </vt:variant>
      <vt:variant>
        <vt:i4>1029</vt:i4>
      </vt:variant>
      <vt:variant>
        <vt:i4>1</vt:i4>
      </vt:variant>
      <vt:variant>
        <vt:lpwstr>CentAm-B-W_032613</vt:lpwstr>
      </vt:variant>
      <vt:variant>
        <vt:lpwstr/>
      </vt:variant>
      <vt:variant>
        <vt:i4>6226038</vt:i4>
      </vt:variant>
      <vt:variant>
        <vt:i4>25466</vt:i4>
      </vt:variant>
      <vt:variant>
        <vt:i4>1025</vt:i4>
      </vt:variant>
      <vt:variant>
        <vt:i4>1</vt:i4>
      </vt:variant>
      <vt:variant>
        <vt:lpwstr>Western Nicaragua</vt:lpwstr>
      </vt:variant>
      <vt:variant>
        <vt:lpwstr/>
      </vt:variant>
      <vt:variant>
        <vt:i4>1310731</vt:i4>
      </vt:variant>
      <vt:variant>
        <vt:i4>-1</vt:i4>
      </vt:variant>
      <vt:variant>
        <vt:i4>1266</vt:i4>
      </vt:variant>
      <vt:variant>
        <vt:i4>1</vt:i4>
      </vt:variant>
      <vt:variant>
        <vt:lpwstr>~AUT0001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Margins mini lesson: Volcanoes and lavas of Central America</dc:title>
  <dc:subject/>
  <dc:creator>Bob Stern</dc:creator>
  <cp:keywords/>
  <cp:lastModifiedBy>August Costa</cp:lastModifiedBy>
  <cp:revision>2</cp:revision>
  <cp:lastPrinted>2013-08-15T20:46:00Z</cp:lastPrinted>
  <dcterms:created xsi:type="dcterms:W3CDTF">2015-09-10T14:19:00Z</dcterms:created>
  <dcterms:modified xsi:type="dcterms:W3CDTF">2015-09-10T14:19:00Z</dcterms:modified>
  <cp:category/>
</cp:coreProperties>
</file>