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3F0" w:rsidRDefault="008133F0" w:rsidP="008133F0">
      <w:pPr>
        <w:pStyle w:val="Title"/>
        <w:jc w:val="right"/>
      </w:pPr>
      <w:bookmarkStart w:id="0" w:name="_GoBack"/>
      <w:bookmarkEnd w:id="0"/>
      <w:r>
        <w:rPr>
          <w:noProof/>
          <w:lang w:eastAsia="en-US"/>
        </w:rPr>
        <w:drawing>
          <wp:inline distT="0" distB="0" distL="0" distR="0">
            <wp:extent cx="25622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ge.gif"/>
                    <pic:cNvPicPr/>
                  </pic:nvPicPr>
                  <pic:blipFill>
                    <a:blip r:embed="rId9">
                      <a:extLst>
                        <a:ext uri="{28A0092B-C50C-407E-A947-70E740481C1C}">
                          <a14:useLocalDpi xmlns:a14="http://schemas.microsoft.com/office/drawing/2010/main" val="0"/>
                        </a:ext>
                      </a:extLst>
                    </a:blip>
                    <a:stretch>
                      <a:fillRect/>
                    </a:stretch>
                  </pic:blipFill>
                  <pic:spPr>
                    <a:xfrm>
                      <a:off x="0" y="0"/>
                      <a:ext cx="2562225" cy="485775"/>
                    </a:xfrm>
                    <a:prstGeom prst="rect">
                      <a:avLst/>
                    </a:prstGeom>
                  </pic:spPr>
                </pic:pic>
              </a:graphicData>
            </a:graphic>
          </wp:inline>
        </w:drawing>
      </w:r>
    </w:p>
    <w:p w:rsidR="0014040E" w:rsidRPr="00435175" w:rsidRDefault="0014040E">
      <w:pPr>
        <w:pStyle w:val="Title"/>
        <w:rPr>
          <w:sz w:val="36"/>
        </w:rPr>
      </w:pPr>
    </w:p>
    <w:p w:rsidR="003D67F5" w:rsidRPr="007E74D3" w:rsidRDefault="003D67F5" w:rsidP="003D67F5">
      <w:pPr>
        <w:pStyle w:val="Title"/>
        <w:rPr>
          <w:i/>
          <w:color w:val="005A81"/>
          <w:sz w:val="56"/>
        </w:rPr>
      </w:pPr>
      <w:r w:rsidRPr="007E74D3">
        <w:rPr>
          <w:i/>
          <w:color w:val="005A81"/>
          <w:sz w:val="56"/>
        </w:rPr>
        <w:t>Vision for the Future, 2015</w:t>
      </w:r>
    </w:p>
    <w:p w:rsidR="003D67F5" w:rsidRPr="00435175" w:rsidRDefault="003D67F5" w:rsidP="00435175">
      <w:pPr>
        <w:pStyle w:val="Title"/>
        <w:rPr>
          <w:b/>
          <w:color w:val="005A81"/>
          <w:sz w:val="48"/>
        </w:rPr>
      </w:pPr>
      <w:r w:rsidRPr="007E74D3">
        <w:rPr>
          <w:b/>
          <w:color w:val="005A81"/>
          <w:sz w:val="48"/>
        </w:rPr>
        <w:t>Summer Strategic Planning</w:t>
      </w:r>
    </w:p>
    <w:p w:rsidR="003D67F5" w:rsidRPr="007E74D3" w:rsidRDefault="003D67F5" w:rsidP="003D67F5">
      <w:pPr>
        <w:pStyle w:val="Heading1"/>
        <w:rPr>
          <w:color w:val="005A81"/>
          <w:sz w:val="36"/>
        </w:rPr>
      </w:pPr>
      <w:r w:rsidRPr="007E74D3">
        <w:rPr>
          <w:noProof/>
          <w:color w:val="005A81"/>
          <w:lang w:eastAsia="en-US"/>
        </w:rPr>
        <mc:AlternateContent>
          <mc:Choice Requires="wps">
            <w:drawing>
              <wp:anchor distT="0" distB="0" distL="114300" distR="114300" simplePos="0" relativeHeight="251687936" behindDoc="0" locked="0" layoutInCell="1" allowOverlap="1" wp14:anchorId="46BC47AF" wp14:editId="4016DFD6">
                <wp:simplePos x="0" y="0"/>
                <wp:positionH relativeFrom="margin">
                  <wp:align>right</wp:align>
                </wp:positionH>
                <wp:positionV relativeFrom="paragraph">
                  <wp:posOffset>537845</wp:posOffset>
                </wp:positionV>
                <wp:extent cx="637222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372225" cy="28575"/>
                        </a:xfrm>
                        <a:prstGeom prst="line">
                          <a:avLst/>
                        </a:prstGeom>
                        <a:ln w="19050">
                          <a:solidFill>
                            <a:srgbClr val="005A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6C202" id="Straight Connector 8" o:spid="_x0000_s1026" style="position:absolute;flip:y;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42.35pt" to="952.3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" strokecolor="#005a81" strokeweight="1.5pt">
                <v:stroke endcap="round"/>
                <w10:wrap anchorx="margin"/>
              </v:line>
            </w:pict>
          </mc:Fallback>
        </mc:AlternateContent>
      </w:r>
      <w:r w:rsidRPr="007E74D3">
        <w:rPr>
          <w:color w:val="005A81"/>
          <w:sz w:val="36"/>
        </w:rPr>
        <w:t>Background, 2012-2014</w:t>
      </w:r>
    </w:p>
    <w:p w:rsidR="003D67F5" w:rsidRPr="002052E4" w:rsidRDefault="003D67F5" w:rsidP="003D67F5"/>
    <w:p w:rsidR="003D67F5" w:rsidRDefault="003D67F5" w:rsidP="003D67F5">
      <w:pPr>
        <w:rPr>
          <w:i/>
          <w:sz w:val="20"/>
        </w:rPr>
        <w:sectPr w:rsidR="003D67F5" w:rsidSect="008C7BC4">
          <w:headerReference w:type="default" r:id="rId10"/>
          <w:footerReference w:type="default" r:id="rId11"/>
          <w:pgSz w:w="12240" w:h="15840"/>
          <w:pgMar w:top="1440" w:right="1080" w:bottom="1440" w:left="1080" w:header="720" w:footer="720" w:gutter="0"/>
          <w:cols w:space="720"/>
          <w:docGrid w:linePitch="231"/>
        </w:sectPr>
      </w:pPr>
    </w:p>
    <w:p w:rsidR="00727134" w:rsidRPr="00F773A3" w:rsidRDefault="00727134" w:rsidP="002C472A">
      <w:pPr>
        <w:keepNext/>
        <w:framePr w:dropCap="drop" w:lines="3" w:wrap="around" w:vAnchor="text" w:hAnchor="text"/>
        <w:spacing w:after="0" w:line="919" w:lineRule="exact"/>
        <w:jc w:val="both"/>
        <w:textAlignment w:val="baseline"/>
        <w:rPr>
          <w:position w:val="-8"/>
          <w:sz w:val="144"/>
        </w:rPr>
      </w:pPr>
      <w:r>
        <w:rPr>
          <w:position w:val="-8"/>
          <w:sz w:val="107"/>
        </w:rPr>
        <w:t>S</w:t>
      </w:r>
    </w:p>
    <w:p w:rsidR="00B22A6D" w:rsidRDefault="007073F8" w:rsidP="00DD134F">
      <w:pPr>
        <w:spacing w:after="0"/>
        <w:jc w:val="both"/>
        <w:rPr>
          <w:sz w:val="22"/>
        </w:rPr>
      </w:pPr>
      <w:r w:rsidRPr="00F773A3">
        <w:rPr>
          <w:sz w:val="22"/>
        </w:rPr>
        <w:t>t</w:t>
      </w:r>
      <w:r w:rsidR="00727134" w:rsidRPr="00F773A3">
        <w:rPr>
          <w:sz w:val="22"/>
        </w:rPr>
        <w:t>rategic planning in</w:t>
      </w:r>
      <w:r w:rsidR="000D29F7" w:rsidRPr="00F773A3">
        <w:rPr>
          <w:sz w:val="22"/>
        </w:rPr>
        <w:t xml:space="preserve"> the sciences at Smith comes</w:t>
      </w:r>
      <w:r w:rsidR="00727134" w:rsidRPr="00F773A3">
        <w:rPr>
          <w:sz w:val="22"/>
        </w:rPr>
        <w:t xml:space="preserve"> at a propitious time</w:t>
      </w:r>
      <w:r w:rsidR="000D29F7" w:rsidRPr="00F773A3">
        <w:rPr>
          <w:sz w:val="22"/>
        </w:rPr>
        <w:t>.  In almost every Science, Technology, Engineering, and Mathematics (STEM) field, many fewer women than men pursue undergraduate degree</w:t>
      </w:r>
      <w:r w:rsidR="009B1DE3" w:rsidRPr="00F773A3">
        <w:rPr>
          <w:sz w:val="22"/>
        </w:rPr>
        <w:t>s</w:t>
      </w:r>
      <w:r w:rsidR="000D29F7" w:rsidRPr="00F773A3">
        <w:rPr>
          <w:sz w:val="22"/>
        </w:rPr>
        <w:t xml:space="preserve">, with women’s participation </w:t>
      </w:r>
      <w:r w:rsidR="009B1DE3" w:rsidRPr="00F773A3">
        <w:rPr>
          <w:sz w:val="22"/>
        </w:rPr>
        <w:t xml:space="preserve">rates </w:t>
      </w:r>
      <w:r w:rsidR="000D29F7" w:rsidRPr="00F773A3">
        <w:rPr>
          <w:sz w:val="22"/>
        </w:rPr>
        <w:t xml:space="preserve">decreasing even further </w:t>
      </w:r>
      <w:r w:rsidR="009B1DE3" w:rsidRPr="00F773A3">
        <w:rPr>
          <w:sz w:val="22"/>
        </w:rPr>
        <w:t xml:space="preserve">in STEM </w:t>
      </w:r>
      <w:r w:rsidR="000D29F7" w:rsidRPr="00F773A3">
        <w:rPr>
          <w:sz w:val="22"/>
        </w:rPr>
        <w:t xml:space="preserve">graduate </w:t>
      </w:r>
      <w:r w:rsidR="009B1DE3" w:rsidRPr="00F773A3">
        <w:rPr>
          <w:sz w:val="22"/>
        </w:rPr>
        <w:t xml:space="preserve">schools and </w:t>
      </w:r>
      <w:r w:rsidR="000D29F7" w:rsidRPr="00F773A3">
        <w:rPr>
          <w:sz w:val="22"/>
        </w:rPr>
        <w:t>workplace</w:t>
      </w:r>
      <w:r w:rsidR="009B1DE3" w:rsidRPr="00F773A3">
        <w:rPr>
          <w:sz w:val="22"/>
        </w:rPr>
        <w:t>s</w:t>
      </w:r>
      <w:r w:rsidR="003E3403">
        <w:rPr>
          <w:sz w:val="22"/>
        </w:rPr>
        <w:t xml:space="preserve"> (Hill et al., 2010). </w:t>
      </w:r>
      <w:r w:rsidR="009B1DE3" w:rsidRPr="00F773A3">
        <w:rPr>
          <w:sz w:val="22"/>
        </w:rPr>
        <w:t>At the same time that l</w:t>
      </w:r>
      <w:r w:rsidR="00527E39" w:rsidRPr="00F773A3">
        <w:rPr>
          <w:sz w:val="22"/>
        </w:rPr>
        <w:t xml:space="preserve">eaders in politics, education, and academia are calling for full representation </w:t>
      </w:r>
      <w:r w:rsidR="002C472A" w:rsidRPr="00F773A3">
        <w:rPr>
          <w:sz w:val="22"/>
        </w:rPr>
        <w:t xml:space="preserve">of women </w:t>
      </w:r>
      <w:r w:rsidR="00527E39" w:rsidRPr="00F773A3">
        <w:rPr>
          <w:sz w:val="22"/>
        </w:rPr>
        <w:t>across STEM fields</w:t>
      </w:r>
      <w:r w:rsidR="00D26D70" w:rsidRPr="00F773A3">
        <w:rPr>
          <w:sz w:val="22"/>
        </w:rPr>
        <w:t xml:space="preserve"> (</w:t>
      </w:r>
      <w:r w:rsidR="002C472A" w:rsidRPr="00F773A3">
        <w:rPr>
          <w:sz w:val="22"/>
        </w:rPr>
        <w:t>McDermott &amp; Mack, 2014), increasing numbers of Smith students</w:t>
      </w:r>
      <w:r w:rsidR="009B1DE3" w:rsidRPr="00F773A3">
        <w:rPr>
          <w:sz w:val="22"/>
        </w:rPr>
        <w:t xml:space="preserve"> are attracted to the sciences. </w:t>
      </w:r>
      <w:r w:rsidR="00D355B6" w:rsidRPr="00F773A3">
        <w:rPr>
          <w:sz w:val="22"/>
        </w:rPr>
        <w:t>Forty</w:t>
      </w:r>
      <w:r w:rsidR="009B1DE3" w:rsidRPr="00F773A3">
        <w:rPr>
          <w:sz w:val="22"/>
        </w:rPr>
        <w:t xml:space="preserve"> percent o</w:t>
      </w:r>
      <w:r w:rsidR="002C472A" w:rsidRPr="00F773A3">
        <w:rPr>
          <w:sz w:val="22"/>
        </w:rPr>
        <w:t xml:space="preserve">f our </w:t>
      </w:r>
      <w:r w:rsidR="00463D25" w:rsidRPr="00F773A3">
        <w:rPr>
          <w:sz w:val="22"/>
        </w:rPr>
        <w:t xml:space="preserve">current </w:t>
      </w:r>
      <w:r w:rsidR="002C472A" w:rsidRPr="00F773A3">
        <w:rPr>
          <w:sz w:val="22"/>
        </w:rPr>
        <w:t xml:space="preserve">students </w:t>
      </w:r>
      <w:r w:rsidR="009B1DE3" w:rsidRPr="00F773A3">
        <w:rPr>
          <w:sz w:val="22"/>
        </w:rPr>
        <w:t>have declared</w:t>
      </w:r>
      <w:r w:rsidR="002C472A" w:rsidRPr="00F773A3">
        <w:rPr>
          <w:sz w:val="22"/>
        </w:rPr>
        <w:t xml:space="preserve"> </w:t>
      </w:r>
      <w:r w:rsidR="00D355B6" w:rsidRPr="00F773A3">
        <w:rPr>
          <w:sz w:val="22"/>
        </w:rPr>
        <w:t xml:space="preserve">a </w:t>
      </w:r>
      <w:r w:rsidR="00463D25" w:rsidRPr="00F773A3">
        <w:rPr>
          <w:sz w:val="22"/>
        </w:rPr>
        <w:t>science major</w:t>
      </w:r>
      <w:r w:rsidR="002C472A" w:rsidRPr="00F773A3">
        <w:rPr>
          <w:sz w:val="22"/>
        </w:rPr>
        <w:t xml:space="preserve">, a rate </w:t>
      </w:r>
      <w:r w:rsidR="00D355B6" w:rsidRPr="00F773A3">
        <w:rPr>
          <w:sz w:val="22"/>
        </w:rPr>
        <w:t xml:space="preserve">at least </w:t>
      </w:r>
      <w:r w:rsidR="002C472A" w:rsidRPr="00F773A3">
        <w:rPr>
          <w:sz w:val="22"/>
        </w:rPr>
        <w:t>double the national average for women</w:t>
      </w:r>
      <w:r w:rsidR="00D355B6" w:rsidRPr="00F773A3">
        <w:rPr>
          <w:sz w:val="22"/>
        </w:rPr>
        <w:t>. In disciplines in which women are most under</w:t>
      </w:r>
      <w:r w:rsidR="00BF1580">
        <w:rPr>
          <w:sz w:val="22"/>
        </w:rPr>
        <w:t>-</w:t>
      </w:r>
      <w:r w:rsidR="00D355B6" w:rsidRPr="00F773A3">
        <w:rPr>
          <w:sz w:val="22"/>
        </w:rPr>
        <w:t>represented (e.g., computer science), our students major at rates up to three times the national average (National Student Clearinghouse, 2014).</w:t>
      </w:r>
      <w:r w:rsidR="00B22A6D">
        <w:rPr>
          <w:sz w:val="22"/>
        </w:rPr>
        <w:t xml:space="preserve"> </w:t>
      </w:r>
    </w:p>
    <w:p w:rsidR="003E3403" w:rsidRDefault="003E3403" w:rsidP="003E3403">
      <w:pPr>
        <w:spacing w:after="0"/>
        <w:jc w:val="both"/>
        <w:rPr>
          <w:sz w:val="22"/>
        </w:rPr>
      </w:pPr>
    </w:p>
    <w:p w:rsidR="003E3403" w:rsidRDefault="00B22A6D" w:rsidP="003E3403">
      <w:pPr>
        <w:spacing w:after="0"/>
        <w:jc w:val="both"/>
        <w:rPr>
          <w:sz w:val="22"/>
        </w:rPr>
      </w:pPr>
      <w:r>
        <w:rPr>
          <w:sz w:val="22"/>
        </w:rPr>
        <w:t>A</w:t>
      </w:r>
      <w:r w:rsidR="00DD134F" w:rsidRPr="00F773A3">
        <w:rPr>
          <w:sz w:val="22"/>
        </w:rPr>
        <w:t xml:space="preserve"> national leader in sc</w:t>
      </w:r>
      <w:r w:rsidR="00101650">
        <w:rPr>
          <w:sz w:val="22"/>
        </w:rPr>
        <w:t xml:space="preserve">ience research and education in a </w:t>
      </w:r>
      <w:r w:rsidR="00DD134F" w:rsidRPr="00F773A3">
        <w:rPr>
          <w:sz w:val="22"/>
        </w:rPr>
        <w:t xml:space="preserve">liberal arts setting, Smith College has a strong history of attracting </w:t>
      </w:r>
      <w:r w:rsidR="00DD134F" w:rsidRPr="00F773A3">
        <w:rPr>
          <w:sz w:val="22"/>
        </w:rPr>
        <w:lastRenderedPageBreak/>
        <w:t>competitive external funding</w:t>
      </w:r>
      <w:r w:rsidR="00BE2773">
        <w:rPr>
          <w:sz w:val="22"/>
        </w:rPr>
        <w:t xml:space="preserve"> </w:t>
      </w:r>
      <w:r w:rsidR="00DD134F" w:rsidRPr="00F773A3">
        <w:rPr>
          <w:sz w:val="22"/>
        </w:rPr>
        <w:t xml:space="preserve">from </w:t>
      </w:r>
      <w:r w:rsidR="00BE2773">
        <w:rPr>
          <w:sz w:val="22"/>
        </w:rPr>
        <w:t>prestigious</w:t>
      </w:r>
      <w:r w:rsidR="00D16926">
        <w:rPr>
          <w:sz w:val="22"/>
        </w:rPr>
        <w:t xml:space="preserve"> </w:t>
      </w:r>
      <w:r w:rsidR="00BE2773">
        <w:rPr>
          <w:sz w:val="22"/>
        </w:rPr>
        <w:t>organizations</w:t>
      </w:r>
      <w:r w:rsidR="00DD134F" w:rsidRPr="00F773A3">
        <w:rPr>
          <w:sz w:val="22"/>
        </w:rPr>
        <w:t xml:space="preserve">.  </w:t>
      </w:r>
      <w:r>
        <w:rPr>
          <w:sz w:val="22"/>
        </w:rPr>
        <w:t>Between 2003 and 2012, the National Science Foundation awarded Smith</w:t>
      </w:r>
      <w:r w:rsidR="00BE2773">
        <w:rPr>
          <w:sz w:val="22"/>
        </w:rPr>
        <w:t>’s faculty research grants</w:t>
      </w:r>
      <w:r>
        <w:rPr>
          <w:sz w:val="22"/>
        </w:rPr>
        <w:t xml:space="preserve"> in excess of $18 million dollars—more than any of our peer institutions during that period.  </w:t>
      </w:r>
      <w:r w:rsidR="00DD134F" w:rsidRPr="00F773A3">
        <w:rPr>
          <w:sz w:val="22"/>
        </w:rPr>
        <w:t xml:space="preserve">The Howard Hughes Medical Institute (HHMI) </w:t>
      </w:r>
      <w:r w:rsidR="00BF1580">
        <w:rPr>
          <w:sz w:val="22"/>
        </w:rPr>
        <w:t xml:space="preserve">also </w:t>
      </w:r>
      <w:r w:rsidR="00DD134F" w:rsidRPr="00F773A3">
        <w:rPr>
          <w:sz w:val="22"/>
        </w:rPr>
        <w:t>rece</w:t>
      </w:r>
      <w:r w:rsidR="00D16926">
        <w:rPr>
          <w:sz w:val="22"/>
        </w:rPr>
        <w:t>ntly awarded Smith a selective</w:t>
      </w:r>
      <w:r w:rsidR="00DD134F" w:rsidRPr="00F773A3">
        <w:rPr>
          <w:sz w:val="22"/>
        </w:rPr>
        <w:t xml:space="preserve"> capstone grant in honor of our “sustained excellence and important contributions to science education.” </w:t>
      </w:r>
      <w:r w:rsidR="003E3403">
        <w:rPr>
          <w:sz w:val="22"/>
        </w:rPr>
        <w:t>S</w:t>
      </w:r>
      <w:r w:rsidR="003E3403" w:rsidRPr="00F773A3">
        <w:rPr>
          <w:sz w:val="22"/>
        </w:rPr>
        <w:t xml:space="preserve">mith’s mission as a women’s college committed to access and diversity has made </w:t>
      </w:r>
      <w:r w:rsidR="00D16926">
        <w:rPr>
          <w:sz w:val="22"/>
        </w:rPr>
        <w:t>these</w:t>
      </w:r>
      <w:r w:rsidR="003E3403" w:rsidRPr="00F773A3">
        <w:rPr>
          <w:sz w:val="22"/>
        </w:rPr>
        <w:t xml:space="preserve"> </w:t>
      </w:r>
      <w:r w:rsidR="00D16926">
        <w:rPr>
          <w:sz w:val="22"/>
        </w:rPr>
        <w:t xml:space="preserve">educational </w:t>
      </w:r>
      <w:r w:rsidR="003E3403" w:rsidRPr="00F773A3">
        <w:rPr>
          <w:sz w:val="22"/>
        </w:rPr>
        <w:t xml:space="preserve">efforts even more valuable, as we work to develop “inclusive excellence” (McDermott &amp; Mack, 2014) that will help change the face of science. </w:t>
      </w:r>
    </w:p>
    <w:p w:rsidR="00DD134F" w:rsidRPr="00F773A3" w:rsidRDefault="00DD134F" w:rsidP="00DD134F">
      <w:pPr>
        <w:spacing w:after="0"/>
        <w:jc w:val="both"/>
        <w:rPr>
          <w:sz w:val="22"/>
        </w:rPr>
      </w:pPr>
    </w:p>
    <w:p w:rsidR="00DD134F" w:rsidRPr="00F773A3" w:rsidRDefault="00DD134F" w:rsidP="00DD134F">
      <w:pPr>
        <w:spacing w:after="0"/>
        <w:jc w:val="both"/>
        <w:rPr>
          <w:sz w:val="22"/>
        </w:rPr>
      </w:pPr>
      <w:r w:rsidRPr="00F773A3">
        <w:rPr>
          <w:sz w:val="22"/>
        </w:rPr>
        <w:t xml:space="preserve">This strategic planning report </w:t>
      </w:r>
      <w:r w:rsidR="00D16926">
        <w:rPr>
          <w:sz w:val="22"/>
        </w:rPr>
        <w:t xml:space="preserve">builds on our successes and looks to the future.  It </w:t>
      </w:r>
      <w:r w:rsidRPr="00F773A3">
        <w:rPr>
          <w:sz w:val="22"/>
        </w:rPr>
        <w:t xml:space="preserve">represents the culmination of a year-long self-study, informed by Science Planning Committee’s white paper, </w:t>
      </w:r>
      <w:r w:rsidRPr="00F773A3">
        <w:rPr>
          <w:i/>
          <w:sz w:val="22"/>
        </w:rPr>
        <w:t>The Sciences at Smith: Vision for the Future 2015</w:t>
      </w:r>
      <w:r w:rsidRPr="00F773A3">
        <w:rPr>
          <w:sz w:val="22"/>
        </w:rPr>
        <w:t xml:space="preserve">, an all-division faculty-staff workshop in May 2014, weekly meetings of the summer strategic </w:t>
      </w:r>
      <w:r w:rsidRPr="00F773A3">
        <w:rPr>
          <w:sz w:val="22"/>
        </w:rPr>
        <w:lastRenderedPageBreak/>
        <w:t>planning committee, as well as a series of open meetings with students, faculty, and staff about the committee’s draft report.  Inputs to the strategic plan ranged from informal conversations among staff and faculty to ideas highlighted by national task forces and published in the science education literature.</w:t>
      </w:r>
    </w:p>
    <w:p w:rsidR="00DD134F" w:rsidRDefault="00DD134F" w:rsidP="00DD134F">
      <w:pPr>
        <w:spacing w:after="0"/>
        <w:jc w:val="both"/>
        <w:rPr>
          <w:sz w:val="22"/>
        </w:rPr>
      </w:pPr>
    </w:p>
    <w:p w:rsidR="003E3403" w:rsidRDefault="003E3403" w:rsidP="003E3403">
      <w:pPr>
        <w:spacing w:after="0"/>
        <w:jc w:val="both"/>
        <w:rPr>
          <w:sz w:val="22"/>
        </w:rPr>
      </w:pPr>
      <w:r w:rsidRPr="00F773A3">
        <w:rPr>
          <w:sz w:val="22"/>
        </w:rPr>
        <w:t xml:space="preserve">Smith’s distinctive strengths and values as a liberal arts college </w:t>
      </w:r>
      <w:r>
        <w:rPr>
          <w:sz w:val="22"/>
        </w:rPr>
        <w:t>ground</w:t>
      </w:r>
      <w:r w:rsidR="00D16926">
        <w:rPr>
          <w:sz w:val="22"/>
        </w:rPr>
        <w:t xml:space="preserve"> this</w:t>
      </w:r>
      <w:r w:rsidRPr="00F773A3">
        <w:rPr>
          <w:sz w:val="22"/>
        </w:rPr>
        <w:t xml:space="preserve"> curricular vision for the future of the sciences. We believe that the priorities articulated here will enhance the education of all of our students, from those who take only one science course to those who major in a STEM field.  It simultaneously highlights the crucial role of the liberal arts for our majors’ success while emphasizing the importance of scientific literacy within the context of the liberal arts.</w:t>
      </w:r>
    </w:p>
    <w:p w:rsidR="003E3403" w:rsidRPr="00F773A3" w:rsidRDefault="003E3403" w:rsidP="003E3403">
      <w:pPr>
        <w:spacing w:after="0"/>
        <w:jc w:val="both"/>
        <w:rPr>
          <w:sz w:val="22"/>
        </w:rPr>
      </w:pPr>
    </w:p>
    <w:p w:rsidR="000D7753" w:rsidRPr="00F773A3" w:rsidRDefault="00463D25" w:rsidP="00635E93">
      <w:pPr>
        <w:spacing w:after="0"/>
        <w:jc w:val="both"/>
        <w:rPr>
          <w:sz w:val="22"/>
        </w:rPr>
      </w:pPr>
      <w:r w:rsidRPr="00F773A3">
        <w:rPr>
          <w:sz w:val="22"/>
        </w:rPr>
        <w:t xml:space="preserve">Our collective work with the ideas in this report has been vibrant and energizing as </w:t>
      </w:r>
      <w:r w:rsidR="00727134" w:rsidRPr="00F773A3">
        <w:rPr>
          <w:sz w:val="22"/>
        </w:rPr>
        <w:t>we imagine the future of the sciences</w:t>
      </w:r>
      <w:r w:rsidRPr="00F773A3">
        <w:rPr>
          <w:sz w:val="22"/>
        </w:rPr>
        <w:t xml:space="preserve">.  We look forward to </w:t>
      </w:r>
      <w:r w:rsidR="002C25F7" w:rsidRPr="00F773A3">
        <w:rPr>
          <w:sz w:val="22"/>
        </w:rPr>
        <w:t xml:space="preserve">further </w:t>
      </w:r>
      <w:r w:rsidRPr="00F773A3">
        <w:rPr>
          <w:sz w:val="22"/>
        </w:rPr>
        <w:t xml:space="preserve">bold and thoughtful engagement with these ideas, as we work </w:t>
      </w:r>
      <w:r w:rsidR="00727134" w:rsidRPr="00F773A3">
        <w:rPr>
          <w:sz w:val="22"/>
        </w:rPr>
        <w:t>within and beyond the Division III community</w:t>
      </w:r>
      <w:r w:rsidRPr="00F773A3">
        <w:rPr>
          <w:sz w:val="22"/>
        </w:rPr>
        <w:t xml:space="preserve"> to </w:t>
      </w:r>
      <w:r w:rsidR="00727134" w:rsidRPr="00F773A3">
        <w:rPr>
          <w:sz w:val="22"/>
        </w:rPr>
        <w:t>achieve Smith’s mission of “</w:t>
      </w:r>
      <w:r w:rsidR="00635E93" w:rsidRPr="00F773A3">
        <w:rPr>
          <w:sz w:val="22"/>
        </w:rPr>
        <w:t xml:space="preserve">preparing women of promise for lives of distinction.”  </w:t>
      </w:r>
    </w:p>
    <w:p w:rsidR="00DD134F" w:rsidRDefault="00DD134F" w:rsidP="00635E93">
      <w:pPr>
        <w:spacing w:after="0"/>
        <w:jc w:val="both"/>
        <w:rPr>
          <w:sz w:val="20"/>
        </w:rPr>
      </w:pPr>
    </w:p>
    <w:p w:rsidR="00DD134F" w:rsidRDefault="00DD134F" w:rsidP="00635E93">
      <w:pPr>
        <w:spacing w:after="0"/>
        <w:jc w:val="both"/>
        <w:rPr>
          <w:sz w:val="20"/>
        </w:rPr>
      </w:pPr>
    </w:p>
    <w:p w:rsidR="00DD134F" w:rsidRDefault="00DD134F" w:rsidP="00DD134F">
      <w:pPr>
        <w:spacing w:after="0"/>
        <w:jc w:val="right"/>
        <w:rPr>
          <w:sz w:val="20"/>
        </w:rPr>
        <w:sectPr w:rsidR="00DD134F" w:rsidSect="00727134">
          <w:headerReference w:type="default" r:id="rId12"/>
          <w:type w:val="continuous"/>
          <w:pgSz w:w="12240" w:h="15840"/>
          <w:pgMar w:top="1080" w:right="1080" w:bottom="1080" w:left="1080" w:header="720" w:footer="720" w:gutter="0"/>
          <w:cols w:num="2" w:space="720"/>
          <w:docGrid w:linePitch="231"/>
        </w:sectPr>
      </w:pPr>
    </w:p>
    <w:tbl>
      <w:tblPr>
        <w:tblStyle w:val="TableGrid"/>
        <w:tblW w:w="13950" w:type="dxa"/>
        <w:tblInd w:w="-365" w:type="dxa"/>
        <w:tblLook w:val="04A0" w:firstRow="1" w:lastRow="0" w:firstColumn="1" w:lastColumn="0" w:noHBand="0" w:noVBand="1"/>
      </w:tblPr>
      <w:tblGrid>
        <w:gridCol w:w="2430"/>
        <w:gridCol w:w="1511"/>
        <w:gridCol w:w="2449"/>
        <w:gridCol w:w="7560"/>
      </w:tblGrid>
      <w:tr w:rsidR="000D7753" w:rsidRPr="008D0C73" w:rsidTr="00264347">
        <w:tc>
          <w:tcPr>
            <w:tcW w:w="13950" w:type="dxa"/>
            <w:gridSpan w:val="4"/>
          </w:tcPr>
          <w:p w:rsidR="000D7753" w:rsidRPr="008D0C73" w:rsidRDefault="000D7753" w:rsidP="00194CA9">
            <w:pPr>
              <w:rPr>
                <w:b/>
                <w:smallCaps/>
                <w:sz w:val="40"/>
              </w:rPr>
            </w:pPr>
            <w:r w:rsidRPr="00755FB1">
              <w:rPr>
                <w:b/>
                <w:smallCaps/>
                <w:color w:val="1F4E79" w:themeColor="accent1" w:themeShade="80"/>
                <w:sz w:val="48"/>
              </w:rPr>
              <w:lastRenderedPageBreak/>
              <w:t xml:space="preserve"> </w:t>
            </w:r>
            <w:r w:rsidR="00194CA9">
              <w:rPr>
                <w:b/>
                <w:smallCaps/>
                <w:noProof/>
                <w:sz w:val="40"/>
                <w:lang w:eastAsia="en-US"/>
              </w:rPr>
              <w:drawing>
                <wp:inline distT="0" distB="0" distL="0" distR="0" wp14:anchorId="565F804C" wp14:editId="28C9CE3C">
                  <wp:extent cx="10191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arg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inline>
              </w:drawing>
            </w:r>
            <w:r w:rsidR="00194CA9">
              <w:rPr>
                <w:b/>
                <w:smallCaps/>
                <w:color w:val="1F4E79" w:themeColor="accent1" w:themeShade="80"/>
                <w:sz w:val="48"/>
              </w:rPr>
              <w:t xml:space="preserve">    Overview, </w:t>
            </w:r>
            <w:r w:rsidRPr="00755FB1">
              <w:rPr>
                <w:b/>
                <w:i/>
                <w:smallCaps/>
                <w:color w:val="1F4E79" w:themeColor="accent1" w:themeShade="80"/>
                <w:sz w:val="48"/>
              </w:rPr>
              <w:t>Vision for the Future</w:t>
            </w:r>
            <w:r w:rsidR="00194CA9">
              <w:rPr>
                <w:b/>
                <w:i/>
                <w:smallCaps/>
                <w:color w:val="1F4E79" w:themeColor="accent1" w:themeShade="80"/>
                <w:sz w:val="48"/>
              </w:rPr>
              <w:t xml:space="preserve"> of the Sciences</w:t>
            </w:r>
            <w:r w:rsidR="00194CA9">
              <w:rPr>
                <w:b/>
                <w:smallCaps/>
                <w:noProof/>
                <w:sz w:val="40"/>
                <w:lang w:eastAsia="en-US"/>
              </w:rPr>
              <w:t xml:space="preserve">                  </w:t>
            </w:r>
          </w:p>
        </w:tc>
      </w:tr>
      <w:tr w:rsidR="000D7753" w:rsidRPr="004545F2" w:rsidTr="00264347">
        <w:tc>
          <w:tcPr>
            <w:tcW w:w="13950" w:type="dxa"/>
            <w:gridSpan w:val="4"/>
          </w:tcPr>
          <w:p w:rsidR="000D7753" w:rsidRDefault="000D7753" w:rsidP="00264347">
            <w:pPr>
              <w:jc w:val="center"/>
              <w:rPr>
                <w:b/>
                <w:sz w:val="40"/>
              </w:rPr>
            </w:pPr>
            <w:r>
              <w:rPr>
                <w:b/>
                <w:sz w:val="40"/>
              </w:rPr>
              <w:t>Our</w:t>
            </w:r>
            <w:r w:rsidRPr="002549A7">
              <w:rPr>
                <w:b/>
                <w:sz w:val="40"/>
              </w:rPr>
              <w:t xml:space="preserve"> Mission</w:t>
            </w:r>
            <w:r>
              <w:rPr>
                <w:b/>
                <w:sz w:val="40"/>
              </w:rPr>
              <w:t xml:space="preserve"> Statement</w:t>
            </w:r>
          </w:p>
          <w:p w:rsidR="000D7753" w:rsidRDefault="000D7753" w:rsidP="00264347">
            <w:pPr>
              <w:jc w:val="center"/>
              <w:rPr>
                <w:b/>
                <w:sz w:val="28"/>
              </w:rPr>
            </w:pPr>
            <w:r>
              <w:rPr>
                <w:b/>
                <w:sz w:val="28"/>
              </w:rPr>
              <w:t>We c</w:t>
            </w:r>
            <w:r w:rsidRPr="00BD1320">
              <w:rPr>
                <w:b/>
                <w:sz w:val="28"/>
              </w:rPr>
              <w:t>ultivat</w:t>
            </w:r>
            <w:r>
              <w:rPr>
                <w:b/>
                <w:sz w:val="28"/>
              </w:rPr>
              <w:t>e</w:t>
            </w:r>
            <w:r w:rsidRPr="00BD1320">
              <w:rPr>
                <w:b/>
                <w:sz w:val="28"/>
              </w:rPr>
              <w:t xml:space="preserve"> the scientist in the next generation of </w:t>
            </w:r>
            <w:r>
              <w:rPr>
                <w:b/>
                <w:sz w:val="28"/>
              </w:rPr>
              <w:t>women</w:t>
            </w:r>
            <w:r w:rsidRPr="00BD1320">
              <w:rPr>
                <w:b/>
                <w:sz w:val="28"/>
              </w:rPr>
              <w:t xml:space="preserve"> leaders</w:t>
            </w:r>
            <w:r>
              <w:rPr>
                <w:b/>
                <w:sz w:val="28"/>
              </w:rPr>
              <w:t xml:space="preserve"> </w:t>
            </w:r>
          </w:p>
          <w:p w:rsidR="000D7753" w:rsidRPr="004545F2" w:rsidRDefault="000D7753" w:rsidP="00264347">
            <w:pPr>
              <w:jc w:val="center"/>
              <w:rPr>
                <w:b/>
                <w:sz w:val="28"/>
              </w:rPr>
            </w:pPr>
            <w:proofErr w:type="gramStart"/>
            <w:r>
              <w:rPr>
                <w:b/>
                <w:sz w:val="28"/>
              </w:rPr>
              <w:t>so</w:t>
            </w:r>
            <w:proofErr w:type="gramEnd"/>
            <w:r>
              <w:rPr>
                <w:b/>
                <w:sz w:val="28"/>
              </w:rPr>
              <w:t xml:space="preserve"> they can meet the challenges of our world.</w:t>
            </w:r>
          </w:p>
        </w:tc>
      </w:tr>
      <w:tr w:rsidR="00641873" w:rsidRPr="002549A7" w:rsidTr="00264347">
        <w:tc>
          <w:tcPr>
            <w:tcW w:w="2430" w:type="dxa"/>
            <w:vMerge w:val="restart"/>
          </w:tcPr>
          <w:p w:rsidR="000D7753" w:rsidRDefault="000D7753" w:rsidP="00264347">
            <w:pPr>
              <w:jc w:val="right"/>
              <w:rPr>
                <w:b/>
                <w:sz w:val="36"/>
              </w:rPr>
            </w:pPr>
            <w:r w:rsidRPr="002549A7">
              <w:rPr>
                <w:b/>
                <w:sz w:val="36"/>
              </w:rPr>
              <w:t>Our Vision for the Future</w:t>
            </w:r>
          </w:p>
          <w:p w:rsidR="000D7753" w:rsidRPr="00523F92" w:rsidRDefault="000D7753" w:rsidP="00264347">
            <w:pPr>
              <w:rPr>
                <w:sz w:val="24"/>
              </w:rPr>
            </w:pPr>
            <w:r w:rsidRPr="00D950D1">
              <w:rPr>
                <w:sz w:val="24"/>
              </w:rPr>
              <w:t xml:space="preserve">The sciences at Smith </w:t>
            </w:r>
            <w:r>
              <w:rPr>
                <w:sz w:val="24"/>
              </w:rPr>
              <w:t xml:space="preserve">will </w:t>
            </w:r>
            <w:r w:rsidRPr="00D950D1">
              <w:rPr>
                <w:sz w:val="24"/>
              </w:rPr>
              <w:t xml:space="preserve">provide transformative opportunities for all students to engage with real problems while empowering them to generate innovative solutions that benefit our world.  </w:t>
            </w:r>
            <w:r w:rsidRPr="00A8289D">
              <w:rPr>
                <w:b/>
                <w:sz w:val="24"/>
              </w:rPr>
              <w:t>Our graduates will change the face of science while purposefully building fulfilling lives.</w:t>
            </w:r>
            <w:r w:rsidRPr="008D0C73">
              <w:rPr>
                <w:sz w:val="24"/>
              </w:rPr>
              <w:t xml:space="preserve">  </w:t>
            </w:r>
          </w:p>
        </w:tc>
        <w:tc>
          <w:tcPr>
            <w:tcW w:w="11520" w:type="dxa"/>
            <w:gridSpan w:val="3"/>
          </w:tcPr>
          <w:p w:rsidR="000D7753" w:rsidRPr="002549A7" w:rsidRDefault="000D7753" w:rsidP="00264347">
            <w:pPr>
              <w:rPr>
                <w:b/>
                <w:sz w:val="28"/>
              </w:rPr>
            </w:pPr>
            <w:r w:rsidRPr="002549A7">
              <w:rPr>
                <w:b/>
                <w:sz w:val="28"/>
              </w:rPr>
              <w:t>Strategic Directions</w:t>
            </w:r>
          </w:p>
        </w:tc>
      </w:tr>
      <w:tr w:rsidR="00641873" w:rsidTr="00435175">
        <w:tc>
          <w:tcPr>
            <w:tcW w:w="2430" w:type="dxa"/>
            <w:vMerge/>
          </w:tcPr>
          <w:p w:rsidR="000D7753" w:rsidRDefault="000D7753" w:rsidP="00264347"/>
        </w:tc>
        <w:tc>
          <w:tcPr>
            <w:tcW w:w="1511" w:type="dxa"/>
          </w:tcPr>
          <w:p w:rsidR="000D7753" w:rsidRDefault="009D7F4E" w:rsidP="00264347">
            <w:r>
              <w:rPr>
                <w:noProof/>
                <w:lang w:eastAsia="en-US"/>
              </w:rPr>
              <w:drawing>
                <wp:inline distT="0" distB="0" distL="0" distR="0" wp14:anchorId="2838AA30" wp14:editId="20E5C6AF">
                  <wp:extent cx="487680" cy="48768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inline>
              </w:drawing>
            </w:r>
          </w:p>
        </w:tc>
        <w:tc>
          <w:tcPr>
            <w:tcW w:w="2449" w:type="dxa"/>
          </w:tcPr>
          <w:p w:rsidR="000D7753" w:rsidRPr="00E402BE" w:rsidRDefault="000D7753" w:rsidP="00264347">
            <w:pPr>
              <w:rPr>
                <w:color w:val="1F4E79" w:themeColor="accent1" w:themeShade="80"/>
                <w:sz w:val="32"/>
              </w:rPr>
            </w:pPr>
            <w:r w:rsidRPr="00E402BE">
              <w:rPr>
                <w:color w:val="1F4E79" w:themeColor="accent1" w:themeShade="80"/>
                <w:sz w:val="32"/>
              </w:rPr>
              <w:t xml:space="preserve">Ensuring access </w:t>
            </w:r>
          </w:p>
          <w:p w:rsidR="000D7753" w:rsidRPr="00E402BE" w:rsidRDefault="000D7753" w:rsidP="00264347">
            <w:pPr>
              <w:rPr>
                <w:color w:val="323E4F" w:themeColor="text2" w:themeShade="BF"/>
                <w:sz w:val="32"/>
              </w:rPr>
            </w:pPr>
            <w:r w:rsidRPr="00E402BE">
              <w:rPr>
                <w:color w:val="1F4E79" w:themeColor="accent1" w:themeShade="80"/>
                <w:sz w:val="32"/>
              </w:rPr>
              <w:t>for all</w:t>
            </w:r>
          </w:p>
        </w:tc>
        <w:tc>
          <w:tcPr>
            <w:tcW w:w="7560" w:type="dxa"/>
          </w:tcPr>
          <w:p w:rsidR="000D7753" w:rsidRPr="00D55727" w:rsidRDefault="000D7753" w:rsidP="00264347">
            <w:pPr>
              <w:rPr>
                <w:sz w:val="20"/>
              </w:rPr>
            </w:pPr>
            <w:r w:rsidRPr="00E402BE">
              <w:rPr>
                <w:color w:val="1F4E79" w:themeColor="accent1" w:themeShade="80"/>
                <w:sz w:val="20"/>
              </w:rPr>
              <w:t xml:space="preserve">Direction: </w:t>
            </w:r>
            <w:r w:rsidRPr="00D55727">
              <w:rPr>
                <w:sz w:val="20"/>
              </w:rPr>
              <w:t xml:space="preserve">The sciences at Smith will work to </w:t>
            </w:r>
            <w:r>
              <w:rPr>
                <w:sz w:val="20"/>
              </w:rPr>
              <w:t xml:space="preserve">address </w:t>
            </w:r>
            <w:r w:rsidRPr="00D55727">
              <w:rPr>
                <w:sz w:val="20"/>
              </w:rPr>
              <w:t>disparities in gender</w:t>
            </w:r>
            <w:r>
              <w:rPr>
                <w:sz w:val="20"/>
              </w:rPr>
              <w:t xml:space="preserve">, </w:t>
            </w:r>
            <w:r w:rsidRPr="00D55727">
              <w:rPr>
                <w:sz w:val="20"/>
              </w:rPr>
              <w:t>racial</w:t>
            </w:r>
            <w:r>
              <w:rPr>
                <w:sz w:val="20"/>
              </w:rPr>
              <w:t>, and socioeconomic</w:t>
            </w:r>
            <w:r w:rsidRPr="00D55727">
              <w:rPr>
                <w:sz w:val="20"/>
              </w:rPr>
              <w:t xml:space="preserve"> representation in the sciences by </w:t>
            </w:r>
            <w:r>
              <w:rPr>
                <w:sz w:val="20"/>
              </w:rPr>
              <w:t xml:space="preserve">pairing rigorous learning </w:t>
            </w:r>
            <w:r w:rsidRPr="00D55727">
              <w:rPr>
                <w:sz w:val="20"/>
              </w:rPr>
              <w:t>expectation</w:t>
            </w:r>
            <w:r>
              <w:rPr>
                <w:sz w:val="20"/>
              </w:rPr>
              <w:t xml:space="preserve">s with robust support and </w:t>
            </w:r>
            <w:r w:rsidRPr="00D55727">
              <w:rPr>
                <w:sz w:val="20"/>
              </w:rPr>
              <w:t>community</w:t>
            </w:r>
            <w:r>
              <w:rPr>
                <w:sz w:val="20"/>
              </w:rPr>
              <w:t>-building</w:t>
            </w:r>
            <w:r w:rsidRPr="00D55727">
              <w:rPr>
                <w:sz w:val="20"/>
              </w:rPr>
              <w:t xml:space="preserve"> for our students. </w:t>
            </w:r>
          </w:p>
          <w:p w:rsidR="000D7753" w:rsidRPr="00D55727" w:rsidRDefault="000D7753" w:rsidP="00264347">
            <w:pPr>
              <w:rPr>
                <w:sz w:val="20"/>
              </w:rPr>
            </w:pPr>
          </w:p>
          <w:p w:rsidR="006C5045" w:rsidRPr="00435175" w:rsidRDefault="000D7753" w:rsidP="00264347">
            <w:pPr>
              <w:rPr>
                <w:sz w:val="20"/>
              </w:rPr>
            </w:pPr>
            <w:r w:rsidRPr="00E402BE">
              <w:rPr>
                <w:color w:val="1F4E79" w:themeColor="accent1" w:themeShade="80"/>
                <w:sz w:val="20"/>
              </w:rPr>
              <w:t xml:space="preserve">Principle:  </w:t>
            </w:r>
            <w:r w:rsidR="003D67F5">
              <w:rPr>
                <w:sz w:val="20"/>
              </w:rPr>
              <w:t>Persistence and the best scientific thinking emerge from health</w:t>
            </w:r>
            <w:r w:rsidR="00E6670B">
              <w:rPr>
                <w:sz w:val="20"/>
              </w:rPr>
              <w:t>y</w:t>
            </w:r>
            <w:r w:rsidR="003D67F5">
              <w:rPr>
                <w:sz w:val="20"/>
              </w:rPr>
              <w:t xml:space="preserve"> climates that promote and value a diversity of perspectives.</w:t>
            </w:r>
          </w:p>
        </w:tc>
      </w:tr>
      <w:tr w:rsidR="00641873" w:rsidTr="00435175">
        <w:tc>
          <w:tcPr>
            <w:tcW w:w="2430" w:type="dxa"/>
            <w:vMerge/>
          </w:tcPr>
          <w:p w:rsidR="000D7753" w:rsidRDefault="000D7753" w:rsidP="00264347"/>
        </w:tc>
        <w:tc>
          <w:tcPr>
            <w:tcW w:w="1511" w:type="dxa"/>
          </w:tcPr>
          <w:p w:rsidR="000D7753" w:rsidRDefault="009D7F4E" w:rsidP="009D7F4E">
            <w:r>
              <w:rPr>
                <w:noProof/>
                <w:lang w:eastAsia="en-US"/>
              </w:rPr>
              <w:drawing>
                <wp:inline distT="0" distB="0" distL="0" distR="0" wp14:anchorId="2A03F9D9" wp14:editId="7594BE3D">
                  <wp:extent cx="554990" cy="585470"/>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990" cy="585470"/>
                          </a:xfrm>
                          <a:prstGeom prst="rect">
                            <a:avLst/>
                          </a:prstGeom>
                          <a:noFill/>
                        </pic:spPr>
                      </pic:pic>
                    </a:graphicData>
                  </a:graphic>
                </wp:inline>
              </w:drawing>
            </w:r>
          </w:p>
        </w:tc>
        <w:tc>
          <w:tcPr>
            <w:tcW w:w="2449" w:type="dxa"/>
          </w:tcPr>
          <w:p w:rsidR="000D7753" w:rsidRPr="00E402BE" w:rsidRDefault="000D7753" w:rsidP="00264347">
            <w:pPr>
              <w:rPr>
                <w:color w:val="BF8F00" w:themeColor="accent4" w:themeShade="BF"/>
                <w:sz w:val="32"/>
              </w:rPr>
            </w:pPr>
            <w:r w:rsidRPr="00E402BE">
              <w:rPr>
                <w:color w:val="BF8F00" w:themeColor="accent4" w:themeShade="BF"/>
                <w:sz w:val="32"/>
              </w:rPr>
              <w:t xml:space="preserve">Engaging </w:t>
            </w:r>
          </w:p>
          <w:p w:rsidR="000D7753" w:rsidRPr="00E618BB" w:rsidRDefault="000D7753" w:rsidP="00264347">
            <w:pPr>
              <w:rPr>
                <w:sz w:val="32"/>
              </w:rPr>
            </w:pPr>
            <w:r w:rsidRPr="00E402BE">
              <w:rPr>
                <w:color w:val="BF8F00" w:themeColor="accent4" w:themeShade="BF"/>
                <w:sz w:val="32"/>
              </w:rPr>
              <w:t>with the world</w:t>
            </w:r>
          </w:p>
        </w:tc>
        <w:tc>
          <w:tcPr>
            <w:tcW w:w="7560" w:type="dxa"/>
          </w:tcPr>
          <w:p w:rsidR="000D7753" w:rsidRPr="00D55727" w:rsidRDefault="000D7753" w:rsidP="00264347">
            <w:pPr>
              <w:rPr>
                <w:sz w:val="20"/>
              </w:rPr>
            </w:pPr>
            <w:r w:rsidRPr="00E402BE">
              <w:rPr>
                <w:color w:val="BF8F00" w:themeColor="accent4" w:themeShade="BF"/>
                <w:sz w:val="20"/>
              </w:rPr>
              <w:t xml:space="preserve">Direction: </w:t>
            </w:r>
            <w:r>
              <w:rPr>
                <w:sz w:val="20"/>
              </w:rPr>
              <w:t xml:space="preserve">The sciences at Smith will strive to engage our students with complex, real-world problems, ranging from local to global, that are often best understood through </w:t>
            </w:r>
            <w:r w:rsidR="0089743A">
              <w:rPr>
                <w:sz w:val="20"/>
              </w:rPr>
              <w:t xml:space="preserve">the </w:t>
            </w:r>
            <w:r>
              <w:rPr>
                <w:sz w:val="20"/>
              </w:rPr>
              <w:t xml:space="preserve">multiple </w:t>
            </w:r>
            <w:r w:rsidR="0089743A">
              <w:rPr>
                <w:sz w:val="20"/>
              </w:rPr>
              <w:t>disciplinary lenses of the liberal arts.</w:t>
            </w:r>
          </w:p>
          <w:p w:rsidR="000D7753" w:rsidRPr="00D55727" w:rsidRDefault="000D7753" w:rsidP="00264347">
            <w:pPr>
              <w:rPr>
                <w:sz w:val="20"/>
              </w:rPr>
            </w:pPr>
          </w:p>
          <w:p w:rsidR="000D7753" w:rsidRPr="00435175" w:rsidRDefault="000D7753" w:rsidP="00194CA9">
            <w:pPr>
              <w:rPr>
                <w:sz w:val="20"/>
              </w:rPr>
            </w:pPr>
            <w:r w:rsidRPr="00E402BE">
              <w:rPr>
                <w:color w:val="BF8F00" w:themeColor="accent4" w:themeShade="BF"/>
                <w:sz w:val="20"/>
              </w:rPr>
              <w:t xml:space="preserve">Principle:  </w:t>
            </w:r>
            <w:r w:rsidR="00165C89">
              <w:rPr>
                <w:sz w:val="20"/>
              </w:rPr>
              <w:t>I</w:t>
            </w:r>
            <w:r w:rsidR="003D67F5">
              <w:rPr>
                <w:sz w:val="20"/>
              </w:rPr>
              <w:t>nteractions with bona fide scientific problems connecting our students to the larger world</w:t>
            </w:r>
            <w:r w:rsidR="00194CA9">
              <w:rPr>
                <w:sz w:val="20"/>
              </w:rPr>
              <w:t xml:space="preserve"> facilitate</w:t>
            </w:r>
            <w:r w:rsidR="003D67F5">
              <w:rPr>
                <w:sz w:val="20"/>
              </w:rPr>
              <w:t xml:space="preserve"> the best learning. </w:t>
            </w:r>
          </w:p>
        </w:tc>
      </w:tr>
      <w:tr w:rsidR="00641873" w:rsidRPr="001A01F3" w:rsidTr="00435175">
        <w:tc>
          <w:tcPr>
            <w:tcW w:w="2430" w:type="dxa"/>
            <w:vMerge/>
          </w:tcPr>
          <w:p w:rsidR="000D7753" w:rsidRDefault="000D7753" w:rsidP="00264347"/>
        </w:tc>
        <w:tc>
          <w:tcPr>
            <w:tcW w:w="1511" w:type="dxa"/>
          </w:tcPr>
          <w:p w:rsidR="000D7753" w:rsidRDefault="009D7F4E" w:rsidP="00264347">
            <w:r>
              <w:rPr>
                <w:noProof/>
                <w:lang w:eastAsia="en-US"/>
              </w:rPr>
              <w:drawing>
                <wp:inline distT="0" distB="0" distL="0" distR="0" wp14:anchorId="66532424" wp14:editId="1E9E6E32">
                  <wp:extent cx="554990" cy="5549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inline>
              </w:drawing>
            </w:r>
          </w:p>
        </w:tc>
        <w:tc>
          <w:tcPr>
            <w:tcW w:w="2449" w:type="dxa"/>
          </w:tcPr>
          <w:p w:rsidR="000D7753" w:rsidRPr="009D7F4E" w:rsidRDefault="000D7753" w:rsidP="00264347">
            <w:pPr>
              <w:rPr>
                <w:color w:val="542344"/>
                <w:sz w:val="32"/>
              </w:rPr>
            </w:pPr>
            <w:r w:rsidRPr="009D7F4E">
              <w:rPr>
                <w:color w:val="542344"/>
                <w:sz w:val="32"/>
              </w:rPr>
              <w:t xml:space="preserve">Developing knowledge </w:t>
            </w:r>
          </w:p>
          <w:p w:rsidR="000D7753" w:rsidRPr="009D7F4E" w:rsidRDefault="000D7753" w:rsidP="00264347">
            <w:pPr>
              <w:rPr>
                <w:color w:val="542344"/>
                <w:sz w:val="32"/>
              </w:rPr>
            </w:pPr>
            <w:r w:rsidRPr="009D7F4E">
              <w:rPr>
                <w:color w:val="542344"/>
                <w:sz w:val="32"/>
              </w:rPr>
              <w:t>and skills</w:t>
            </w:r>
          </w:p>
        </w:tc>
        <w:tc>
          <w:tcPr>
            <w:tcW w:w="7560" w:type="dxa"/>
          </w:tcPr>
          <w:p w:rsidR="000D7753" w:rsidRPr="00D55727" w:rsidRDefault="000D7753" w:rsidP="00264347">
            <w:pPr>
              <w:rPr>
                <w:sz w:val="20"/>
              </w:rPr>
            </w:pPr>
            <w:r w:rsidRPr="009D7F4E">
              <w:rPr>
                <w:color w:val="542344"/>
                <w:sz w:val="20"/>
              </w:rPr>
              <w:t xml:space="preserve">Direction: </w:t>
            </w:r>
            <w:r w:rsidRPr="004545F2">
              <w:rPr>
                <w:sz w:val="20"/>
              </w:rPr>
              <w:t xml:space="preserve">Through </w:t>
            </w:r>
            <w:r>
              <w:rPr>
                <w:sz w:val="20"/>
              </w:rPr>
              <w:t>rigorous coursework a</w:t>
            </w:r>
            <w:r w:rsidR="00194CA9">
              <w:rPr>
                <w:sz w:val="20"/>
              </w:rPr>
              <w:t>nd</w:t>
            </w:r>
            <w:r>
              <w:rPr>
                <w:sz w:val="20"/>
              </w:rPr>
              <w:t xml:space="preserve"> undergraduate research opportunities that connect the work of students with cutting-edge faculty scholarship, we develop stud</w:t>
            </w:r>
            <w:r w:rsidR="00082C0D">
              <w:rPr>
                <w:sz w:val="20"/>
              </w:rPr>
              <w:t xml:space="preserve">ent mastery of the key concepts and </w:t>
            </w:r>
            <w:r>
              <w:rPr>
                <w:sz w:val="20"/>
              </w:rPr>
              <w:t xml:space="preserve">competencies of our disciplines.  </w:t>
            </w:r>
            <w:r w:rsidRPr="00D55727">
              <w:rPr>
                <w:sz w:val="20"/>
              </w:rPr>
              <w:t xml:space="preserve"> </w:t>
            </w:r>
          </w:p>
          <w:p w:rsidR="000D7753" w:rsidRPr="00D55727" w:rsidRDefault="000D7753" w:rsidP="00264347">
            <w:pPr>
              <w:rPr>
                <w:sz w:val="20"/>
              </w:rPr>
            </w:pPr>
          </w:p>
          <w:p w:rsidR="000D7753" w:rsidRPr="001A01F3" w:rsidRDefault="000D7753" w:rsidP="00264347">
            <w:pPr>
              <w:rPr>
                <w:sz w:val="20"/>
              </w:rPr>
            </w:pPr>
            <w:r w:rsidRPr="009D7F4E">
              <w:rPr>
                <w:color w:val="542344"/>
                <w:sz w:val="20"/>
              </w:rPr>
              <w:t xml:space="preserve">Principle:  </w:t>
            </w:r>
            <w:r w:rsidR="003D67F5">
              <w:rPr>
                <w:sz w:val="20"/>
              </w:rPr>
              <w:t xml:space="preserve">Best-practices pedagogies and faculty-student research collaborations will result in optimal learning and future success for our students.  </w:t>
            </w:r>
          </w:p>
        </w:tc>
      </w:tr>
      <w:tr w:rsidR="00641873" w:rsidRPr="001A01F3" w:rsidTr="00435175">
        <w:tc>
          <w:tcPr>
            <w:tcW w:w="2430" w:type="dxa"/>
            <w:vMerge/>
          </w:tcPr>
          <w:p w:rsidR="000D7753" w:rsidRDefault="000D7753" w:rsidP="00264347"/>
        </w:tc>
        <w:tc>
          <w:tcPr>
            <w:tcW w:w="1511" w:type="dxa"/>
          </w:tcPr>
          <w:p w:rsidR="000D7753" w:rsidRDefault="00641873" w:rsidP="00264347">
            <w:r>
              <w:rPr>
                <w:noProof/>
                <w:lang w:eastAsia="en-US"/>
              </w:rPr>
              <w:drawing>
                <wp:inline distT="0" distB="0" distL="0" distR="0" wp14:anchorId="527870B9" wp14:editId="7189387A">
                  <wp:extent cx="589143" cy="531708"/>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oking through microscope BW 1.jpg"/>
                          <pic:cNvPicPr/>
                        </pic:nvPicPr>
                        <pic:blipFill>
                          <a:blip r:embed="rId16" cstate="print">
                            <a:extLst>
                              <a:ext uri="{28A0092B-C50C-407E-A947-70E740481C1C}">
                                <a14:useLocalDpi xmlns:a14="http://schemas.microsoft.com/office/drawing/2010/main" val="0"/>
                              </a:ext>
                            </a:extLst>
                          </a:blip>
                          <a:stretch>
                            <a:fillRect/>
                          </a:stretch>
                        </pic:blipFill>
                        <pic:spPr>
                          <a:xfrm rot="10800000" flipH="1" flipV="1">
                            <a:off x="0" y="0"/>
                            <a:ext cx="644350" cy="581533"/>
                          </a:xfrm>
                          <a:prstGeom prst="rect">
                            <a:avLst/>
                          </a:prstGeom>
                        </pic:spPr>
                      </pic:pic>
                    </a:graphicData>
                  </a:graphic>
                </wp:inline>
              </w:drawing>
            </w:r>
          </w:p>
        </w:tc>
        <w:tc>
          <w:tcPr>
            <w:tcW w:w="2449" w:type="dxa"/>
          </w:tcPr>
          <w:p w:rsidR="000D7753" w:rsidRPr="00E618BB" w:rsidRDefault="000D7753" w:rsidP="00264347">
            <w:pPr>
              <w:rPr>
                <w:sz w:val="32"/>
              </w:rPr>
            </w:pPr>
            <w:r w:rsidRPr="009D7F4E">
              <w:rPr>
                <w:color w:val="538135" w:themeColor="accent6" w:themeShade="BF"/>
                <w:sz w:val="32"/>
              </w:rPr>
              <w:t>Fortifying agency and identity</w:t>
            </w:r>
          </w:p>
        </w:tc>
        <w:tc>
          <w:tcPr>
            <w:tcW w:w="7560" w:type="dxa"/>
          </w:tcPr>
          <w:p w:rsidR="000D7753" w:rsidRPr="00D55727" w:rsidRDefault="000D7753" w:rsidP="00264347">
            <w:pPr>
              <w:rPr>
                <w:sz w:val="20"/>
              </w:rPr>
            </w:pPr>
            <w:r w:rsidRPr="009D7F4E">
              <w:rPr>
                <w:color w:val="538135" w:themeColor="accent6" w:themeShade="BF"/>
                <w:sz w:val="20"/>
              </w:rPr>
              <w:t xml:space="preserve">Direction: </w:t>
            </w:r>
            <w:r>
              <w:rPr>
                <w:sz w:val="20"/>
              </w:rPr>
              <w:t>The sciences at Smith will cultivate students’ agency, confidence, and resourcefulness in learning</w:t>
            </w:r>
            <w:r w:rsidR="00082C0D">
              <w:rPr>
                <w:sz w:val="20"/>
              </w:rPr>
              <w:t xml:space="preserve"> while fostering their sens</w:t>
            </w:r>
            <w:r w:rsidR="000F5D0B">
              <w:rPr>
                <w:sz w:val="20"/>
              </w:rPr>
              <w:t>e of identity</w:t>
            </w:r>
            <w:r>
              <w:rPr>
                <w:sz w:val="20"/>
              </w:rPr>
              <w:t xml:space="preserve"> as scientists.</w:t>
            </w:r>
          </w:p>
          <w:p w:rsidR="000D7753" w:rsidRPr="00D55727" w:rsidRDefault="000D7753" w:rsidP="00264347">
            <w:pPr>
              <w:rPr>
                <w:sz w:val="20"/>
              </w:rPr>
            </w:pPr>
          </w:p>
          <w:p w:rsidR="000D7753" w:rsidRPr="001A01F3" w:rsidRDefault="000D7753" w:rsidP="00264347">
            <w:pPr>
              <w:rPr>
                <w:sz w:val="20"/>
              </w:rPr>
            </w:pPr>
            <w:r w:rsidRPr="009D7F4E">
              <w:rPr>
                <w:color w:val="538135" w:themeColor="accent6" w:themeShade="BF"/>
                <w:sz w:val="20"/>
              </w:rPr>
              <w:t xml:space="preserve">Principle:  </w:t>
            </w:r>
            <w:r w:rsidR="00194CA9">
              <w:rPr>
                <w:sz w:val="20"/>
              </w:rPr>
              <w:t>Students’ mind sets, meta</w:t>
            </w:r>
            <w:r w:rsidR="003D67F5">
              <w:rPr>
                <w:sz w:val="20"/>
              </w:rPr>
              <w:t>cognition, and identity development are essential to learning as well as professional and personal fulfillment.</w:t>
            </w:r>
            <w:r>
              <w:rPr>
                <w:sz w:val="20"/>
              </w:rPr>
              <w:t xml:space="preserve">  </w:t>
            </w:r>
          </w:p>
        </w:tc>
      </w:tr>
    </w:tbl>
    <w:p w:rsidR="00A8289D" w:rsidRPr="00D26D70" w:rsidRDefault="00A8289D" w:rsidP="00A8289D">
      <w:pPr>
        <w:spacing w:after="0" w:line="360" w:lineRule="exact"/>
        <w:ind w:left="720" w:firstLine="720"/>
        <w:rPr>
          <w:b/>
          <w:color w:val="C00000"/>
          <w:sz w:val="40"/>
        </w:rPr>
        <w:sectPr w:rsidR="00A8289D" w:rsidRPr="00D26D70" w:rsidSect="00211A0A">
          <w:footerReference w:type="default" r:id="rId17"/>
          <w:pgSz w:w="15840" w:h="12240" w:orient="landscape"/>
          <w:pgMar w:top="1008" w:right="1080" w:bottom="1080" w:left="1080" w:header="720" w:footer="720" w:gutter="0"/>
          <w:cols w:space="720"/>
          <w:docGrid w:linePitch="231"/>
        </w:sectPr>
      </w:pPr>
      <w:proofErr w:type="gramStart"/>
      <w:r w:rsidRPr="00D26D70">
        <w:rPr>
          <w:b/>
          <w:color w:val="1F4E79" w:themeColor="accent1" w:themeShade="80"/>
          <w:sz w:val="40"/>
        </w:rPr>
        <w:t>welcome</w:t>
      </w:r>
      <w:proofErr w:type="gramEnd"/>
      <w:r w:rsidRPr="00D26D70">
        <w:rPr>
          <w:b/>
          <w:color w:val="00B0F0"/>
          <w:sz w:val="40"/>
        </w:rPr>
        <w:t xml:space="preserve"> </w:t>
      </w:r>
      <w:r w:rsidRPr="00D26D70">
        <w:rPr>
          <w:b/>
          <w:color w:val="00B0F0"/>
          <w:sz w:val="40"/>
        </w:rPr>
        <w:tab/>
      </w:r>
      <w:r w:rsidRPr="00D26D70">
        <w:rPr>
          <w:b/>
          <w:color w:val="00B0F0"/>
          <w:sz w:val="40"/>
        </w:rPr>
        <w:tab/>
      </w:r>
      <w:r w:rsidRPr="00D26D70">
        <w:rPr>
          <w:b/>
          <w:color w:val="BF8F00" w:themeColor="accent4" w:themeShade="BF"/>
          <w:sz w:val="40"/>
        </w:rPr>
        <w:t>connect</w:t>
      </w:r>
      <w:r w:rsidRPr="00D26D70">
        <w:rPr>
          <w:b/>
          <w:color w:val="00B050"/>
          <w:sz w:val="40"/>
        </w:rPr>
        <w:tab/>
      </w:r>
      <w:r w:rsidRPr="00D26D70">
        <w:rPr>
          <w:b/>
          <w:color w:val="00B050"/>
          <w:sz w:val="40"/>
        </w:rPr>
        <w:tab/>
      </w:r>
      <w:r w:rsidRPr="00D26D70">
        <w:rPr>
          <w:b/>
          <w:color w:val="542344"/>
          <w:sz w:val="40"/>
        </w:rPr>
        <w:t>develop</w:t>
      </w:r>
      <w:r w:rsidRPr="00D26D70">
        <w:rPr>
          <w:b/>
          <w:color w:val="00B050"/>
          <w:sz w:val="40"/>
        </w:rPr>
        <w:tab/>
      </w:r>
      <w:r w:rsidRPr="00D26D70">
        <w:rPr>
          <w:b/>
          <w:color w:val="00B050"/>
          <w:sz w:val="40"/>
        </w:rPr>
        <w:tab/>
      </w:r>
      <w:r w:rsidRPr="00D26D70">
        <w:rPr>
          <w:b/>
          <w:color w:val="538135" w:themeColor="accent6" w:themeShade="BF"/>
          <w:sz w:val="40"/>
        </w:rPr>
        <w:t>fortify</w:t>
      </w:r>
    </w:p>
    <w:p w:rsidR="003D67F5" w:rsidRPr="007E74D3" w:rsidRDefault="003D67F5" w:rsidP="003D67F5">
      <w:pPr>
        <w:pStyle w:val="Heading1"/>
        <w:rPr>
          <w:color w:val="005A81"/>
          <w:sz w:val="36"/>
        </w:rPr>
      </w:pPr>
      <w:r w:rsidRPr="007E74D3">
        <w:rPr>
          <w:noProof/>
          <w:color w:val="005A81"/>
          <w:lang w:eastAsia="en-US"/>
        </w:rPr>
        <w:lastRenderedPageBreak/>
        <mc:AlternateContent>
          <mc:Choice Requires="wps">
            <w:drawing>
              <wp:anchor distT="0" distB="0" distL="114300" distR="114300" simplePos="0" relativeHeight="251689984" behindDoc="0" locked="0" layoutInCell="1" allowOverlap="1" wp14:anchorId="73CA08CE" wp14:editId="28C0BA9A">
                <wp:simplePos x="0" y="0"/>
                <wp:positionH relativeFrom="margin">
                  <wp:align>right</wp:align>
                </wp:positionH>
                <wp:positionV relativeFrom="paragraph">
                  <wp:posOffset>822960</wp:posOffset>
                </wp:positionV>
                <wp:extent cx="6381750" cy="2857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6381750" cy="28575"/>
                        </a:xfrm>
                        <a:prstGeom prst="line">
                          <a:avLst/>
                        </a:prstGeom>
                        <a:ln w="19050">
                          <a:solidFill>
                            <a:srgbClr val="005A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2E92C" id="Straight Connector 11" o:spid="_x0000_s1026" style="position:absolute;flip:y;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64.8pt" to="953.8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" strokecolor="#005a81" strokeweight="1.5pt">
                <v:stroke endcap="round"/>
                <w10:wrap anchorx="margin"/>
              </v:line>
            </w:pict>
          </mc:Fallback>
        </mc:AlternateContent>
      </w:r>
      <w:r w:rsidRPr="007E74D3">
        <w:rPr>
          <w:noProof/>
          <w:color w:val="005A81"/>
          <w:sz w:val="20"/>
          <w:lang w:eastAsia="en-US"/>
        </w:rPr>
        <w:drawing>
          <wp:inline distT="0" distB="0" distL="0" distR="0" wp14:anchorId="093AFCC9" wp14:editId="37006251">
            <wp:extent cx="488011" cy="488011"/>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ecourt gat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7241" cy="497241"/>
                    </a:xfrm>
                    <a:prstGeom prst="rect">
                      <a:avLst/>
                    </a:prstGeom>
                  </pic:spPr>
                </pic:pic>
              </a:graphicData>
            </a:graphic>
          </wp:inline>
        </w:drawing>
      </w:r>
      <w:r w:rsidRPr="007E74D3">
        <w:rPr>
          <w:color w:val="005A81"/>
        </w:rPr>
        <w:t xml:space="preserve">  </w:t>
      </w:r>
      <w:r w:rsidRPr="007E74D3">
        <w:rPr>
          <w:color w:val="005A81"/>
          <w:sz w:val="36"/>
        </w:rPr>
        <w:t xml:space="preserve">Strategic Direction I: Ensuring Access </w:t>
      </w:r>
      <w:proofErr w:type="gramStart"/>
      <w:r w:rsidRPr="007E74D3">
        <w:rPr>
          <w:color w:val="005A81"/>
          <w:sz w:val="36"/>
        </w:rPr>
        <w:t>For</w:t>
      </w:r>
      <w:proofErr w:type="gramEnd"/>
      <w:r w:rsidRPr="007E74D3">
        <w:rPr>
          <w:color w:val="005A81"/>
          <w:sz w:val="36"/>
        </w:rPr>
        <w:t xml:space="preserve"> All</w:t>
      </w:r>
    </w:p>
    <w:p w:rsidR="003D67F5" w:rsidRPr="007E74D3" w:rsidRDefault="003D67F5" w:rsidP="003D67F5">
      <w:pPr>
        <w:spacing w:before="400" w:after="40" w:line="240" w:lineRule="auto"/>
        <w:ind w:left="720" w:right="1440"/>
        <w:jc w:val="both"/>
        <w:rPr>
          <w:i/>
          <w:color w:val="005A81"/>
          <w:sz w:val="24"/>
        </w:rPr>
      </w:pPr>
      <w:r w:rsidRPr="007E74D3">
        <w:rPr>
          <w:i/>
          <w:color w:val="005A81"/>
          <w:sz w:val="24"/>
        </w:rPr>
        <w:t xml:space="preserve">The sciences at Smith will work to address disparities in gender, racial, and socioeconomic representation in the sciences by pairing rigorous learning expectations with robust support and community-building for our students. </w:t>
      </w:r>
    </w:p>
    <w:p w:rsidR="003D67F5" w:rsidRPr="007E74D3" w:rsidRDefault="003D67F5" w:rsidP="003D67F5">
      <w:pPr>
        <w:rPr>
          <w:color w:val="005A81"/>
          <w:sz w:val="20"/>
        </w:rPr>
      </w:pPr>
    </w:p>
    <w:p w:rsidR="00B54FC6" w:rsidRDefault="00A03707" w:rsidP="008133F0">
      <w:pPr>
        <w:rPr>
          <w:sz w:val="20"/>
        </w:rPr>
      </w:pPr>
      <w:r>
        <w:rPr>
          <w:sz w:val="20"/>
        </w:rPr>
        <w:t xml:space="preserve">The first </w:t>
      </w:r>
      <w:r w:rsidR="003103C5">
        <w:rPr>
          <w:sz w:val="20"/>
        </w:rPr>
        <w:t>principle of excellence from the Association of Am</w:t>
      </w:r>
      <w:r w:rsidR="00082C0D">
        <w:rPr>
          <w:sz w:val="20"/>
        </w:rPr>
        <w:t>erican Colleges and Universities’</w:t>
      </w:r>
      <w:r w:rsidR="003103C5">
        <w:rPr>
          <w:sz w:val="20"/>
        </w:rPr>
        <w:t xml:space="preserve"> Liberal Education and America’s Promise (LEAP; 2011) initiative is to “</w:t>
      </w:r>
      <w:r w:rsidR="00F3784D">
        <w:rPr>
          <w:sz w:val="20"/>
        </w:rPr>
        <w:t xml:space="preserve">aim high—and </w:t>
      </w:r>
      <w:r w:rsidR="003103C5">
        <w:rPr>
          <w:sz w:val="20"/>
        </w:rPr>
        <w:t>make excellence inclusive”</w:t>
      </w:r>
      <w:r w:rsidR="00F3784D">
        <w:rPr>
          <w:sz w:val="20"/>
        </w:rPr>
        <w:t xml:space="preserve"> (p. 6).</w:t>
      </w:r>
      <w:r w:rsidR="003103C5">
        <w:rPr>
          <w:sz w:val="20"/>
        </w:rPr>
        <w:t xml:space="preserve">  </w:t>
      </w:r>
      <w:r w:rsidR="00D44601">
        <w:rPr>
          <w:sz w:val="20"/>
        </w:rPr>
        <w:t xml:space="preserve">In the sciences, </w:t>
      </w:r>
      <w:r w:rsidR="00F3784D">
        <w:rPr>
          <w:sz w:val="20"/>
        </w:rPr>
        <w:t xml:space="preserve">excellence through inclusivity </w:t>
      </w:r>
      <w:r w:rsidR="00D44601">
        <w:rPr>
          <w:sz w:val="20"/>
        </w:rPr>
        <w:t xml:space="preserve">is a critical need.  Despite significant gains in women’s participation in </w:t>
      </w:r>
      <w:r w:rsidR="008061E0">
        <w:rPr>
          <w:sz w:val="20"/>
        </w:rPr>
        <w:t xml:space="preserve">other workplaces and areas of education in the last 50 years, </w:t>
      </w:r>
      <w:r w:rsidR="00D26D70">
        <w:rPr>
          <w:sz w:val="20"/>
        </w:rPr>
        <w:t>the loss of talented women</w:t>
      </w:r>
      <w:r w:rsidR="005B4968">
        <w:rPr>
          <w:sz w:val="20"/>
        </w:rPr>
        <w:t xml:space="preserve">, particularly from underrepresented groups, </w:t>
      </w:r>
      <w:r w:rsidR="00F773A3">
        <w:rPr>
          <w:sz w:val="20"/>
        </w:rPr>
        <w:t>at</w:t>
      </w:r>
      <w:r w:rsidR="00082C0D">
        <w:rPr>
          <w:sz w:val="20"/>
        </w:rPr>
        <w:t xml:space="preserve"> every level of the science pipeline</w:t>
      </w:r>
      <w:r w:rsidR="005B4968">
        <w:rPr>
          <w:sz w:val="20"/>
        </w:rPr>
        <w:t xml:space="preserve"> </w:t>
      </w:r>
      <w:r w:rsidR="008061E0">
        <w:rPr>
          <w:sz w:val="20"/>
        </w:rPr>
        <w:t xml:space="preserve">remains a concern </w:t>
      </w:r>
      <w:r w:rsidR="00B54FC6">
        <w:rPr>
          <w:sz w:val="20"/>
        </w:rPr>
        <w:t xml:space="preserve">in </w:t>
      </w:r>
      <w:r w:rsidR="008061E0">
        <w:rPr>
          <w:sz w:val="20"/>
        </w:rPr>
        <w:t>many STEM disciplines</w:t>
      </w:r>
      <w:r w:rsidR="002C379B">
        <w:rPr>
          <w:sz w:val="20"/>
        </w:rPr>
        <w:t xml:space="preserve"> (Hill et al., 2010)</w:t>
      </w:r>
      <w:r w:rsidR="008061E0">
        <w:rPr>
          <w:sz w:val="20"/>
        </w:rPr>
        <w:t>.  Scholars argue that this underre</w:t>
      </w:r>
      <w:r w:rsidR="00412C95">
        <w:rPr>
          <w:sz w:val="20"/>
        </w:rPr>
        <w:t>presentation is an urgent problem</w:t>
      </w:r>
      <w:r w:rsidR="008061E0">
        <w:rPr>
          <w:sz w:val="20"/>
        </w:rPr>
        <w:t xml:space="preserve"> with broad societal implications.  </w:t>
      </w:r>
      <w:r w:rsidR="00B54FC6">
        <w:rPr>
          <w:sz w:val="20"/>
        </w:rPr>
        <w:t xml:space="preserve">Preventing the loss of female talent at each juncture in the science pipeline would </w:t>
      </w:r>
      <w:r w:rsidR="008061E0">
        <w:rPr>
          <w:sz w:val="20"/>
        </w:rPr>
        <w:t>serve</w:t>
      </w:r>
      <w:r w:rsidR="00B54FC6">
        <w:rPr>
          <w:sz w:val="20"/>
        </w:rPr>
        <w:t xml:space="preserve"> to foster innovation, increase our ability to address pressing global challenges, and even potentially serve to redress pay inequity across genders (Hill et al., 2010).  </w:t>
      </w:r>
    </w:p>
    <w:p w:rsidR="00670D22" w:rsidRDefault="008061E0" w:rsidP="008133F0">
      <w:pPr>
        <w:rPr>
          <w:sz w:val="20"/>
        </w:rPr>
      </w:pPr>
      <w:r>
        <w:rPr>
          <w:sz w:val="20"/>
        </w:rPr>
        <w:t xml:space="preserve">The sciences at Smith have already engaged in innovative </w:t>
      </w:r>
      <w:r w:rsidR="00F3784D">
        <w:rPr>
          <w:sz w:val="20"/>
        </w:rPr>
        <w:t>and systematic efforts to improve</w:t>
      </w:r>
      <w:r>
        <w:rPr>
          <w:sz w:val="20"/>
        </w:rPr>
        <w:t xml:space="preserve"> access for all of our students, including </w:t>
      </w:r>
      <w:r w:rsidR="00670D22">
        <w:rPr>
          <w:sz w:val="20"/>
        </w:rPr>
        <w:t>our</w:t>
      </w:r>
      <w:r w:rsidR="00580C0F">
        <w:rPr>
          <w:sz w:val="20"/>
        </w:rPr>
        <w:t xml:space="preserve"> investment in </w:t>
      </w:r>
      <w:r>
        <w:rPr>
          <w:sz w:val="20"/>
        </w:rPr>
        <w:t xml:space="preserve">the highly successful </w:t>
      </w:r>
      <w:r w:rsidR="00CC31BA">
        <w:rPr>
          <w:sz w:val="20"/>
        </w:rPr>
        <w:t xml:space="preserve">and continually growing </w:t>
      </w:r>
      <w:r>
        <w:rPr>
          <w:sz w:val="20"/>
        </w:rPr>
        <w:t>Achieving Excellence in Mathematics, Eng</w:t>
      </w:r>
      <w:r w:rsidR="00580C0F">
        <w:rPr>
          <w:sz w:val="20"/>
        </w:rPr>
        <w:t>ineering, and Sciences (AEMES) programs as well as the ongoing work of the Science Cent</w:t>
      </w:r>
      <w:r w:rsidR="00412C95">
        <w:rPr>
          <w:sz w:val="20"/>
        </w:rPr>
        <w:t>er Committee on Diversity</w:t>
      </w:r>
      <w:r w:rsidR="00A86265">
        <w:rPr>
          <w:sz w:val="20"/>
        </w:rPr>
        <w:t xml:space="preserve"> (SCCD)</w:t>
      </w:r>
      <w:r w:rsidR="00580C0F">
        <w:rPr>
          <w:sz w:val="20"/>
        </w:rPr>
        <w:t xml:space="preserve">.  </w:t>
      </w:r>
      <w:r w:rsidR="00670D22">
        <w:rPr>
          <w:sz w:val="20"/>
        </w:rPr>
        <w:t xml:space="preserve">These initiatives have </w:t>
      </w:r>
      <w:r w:rsidR="00A86265">
        <w:rPr>
          <w:sz w:val="20"/>
        </w:rPr>
        <w:t xml:space="preserve">demonstrated positive </w:t>
      </w:r>
      <w:r w:rsidR="00F3784D">
        <w:rPr>
          <w:sz w:val="20"/>
        </w:rPr>
        <w:t>effects</w:t>
      </w:r>
      <w:r w:rsidR="00A83C90">
        <w:rPr>
          <w:sz w:val="20"/>
        </w:rPr>
        <w:t xml:space="preserve">.  Since the launch of AEMES’ programming, </w:t>
      </w:r>
      <w:r w:rsidR="00F3784D" w:rsidRPr="00F3784D">
        <w:rPr>
          <w:sz w:val="20"/>
        </w:rPr>
        <w:t>gap</w:t>
      </w:r>
      <w:r w:rsidR="00F3784D">
        <w:rPr>
          <w:sz w:val="20"/>
        </w:rPr>
        <w:t>s</w:t>
      </w:r>
      <w:r w:rsidR="00F3784D" w:rsidRPr="00F3784D">
        <w:rPr>
          <w:sz w:val="20"/>
        </w:rPr>
        <w:t xml:space="preserve"> </w:t>
      </w:r>
      <w:r w:rsidR="00A83C90">
        <w:rPr>
          <w:sz w:val="20"/>
        </w:rPr>
        <w:t xml:space="preserve">have dissolved </w:t>
      </w:r>
      <w:r w:rsidR="00F3784D" w:rsidRPr="00F3784D">
        <w:rPr>
          <w:sz w:val="20"/>
        </w:rPr>
        <w:t xml:space="preserve">between students traditionally underrepresented in the sciences and our other students on measures of </w:t>
      </w:r>
      <w:r w:rsidR="00F3784D">
        <w:rPr>
          <w:sz w:val="20"/>
        </w:rPr>
        <w:t xml:space="preserve">performance and </w:t>
      </w:r>
      <w:r w:rsidR="00F3784D" w:rsidRPr="00F3784D">
        <w:rPr>
          <w:sz w:val="20"/>
        </w:rPr>
        <w:t xml:space="preserve">persistence in </w:t>
      </w:r>
      <w:r w:rsidR="0089743A">
        <w:rPr>
          <w:sz w:val="20"/>
        </w:rPr>
        <w:t xml:space="preserve">a number of aspects of </w:t>
      </w:r>
      <w:r w:rsidR="00F3784D" w:rsidRPr="00F3784D">
        <w:rPr>
          <w:sz w:val="20"/>
        </w:rPr>
        <w:t>the science pipeline</w:t>
      </w:r>
      <w:r w:rsidR="00A83C90">
        <w:rPr>
          <w:sz w:val="20"/>
        </w:rPr>
        <w:t>.  The C</w:t>
      </w:r>
      <w:r w:rsidR="00A86265">
        <w:rPr>
          <w:sz w:val="20"/>
        </w:rPr>
        <w:t>ollege</w:t>
      </w:r>
      <w:r w:rsidR="00A83C90">
        <w:rPr>
          <w:sz w:val="20"/>
        </w:rPr>
        <w:t xml:space="preserve"> also recently adopted </w:t>
      </w:r>
      <w:r w:rsidR="00F3784D">
        <w:rPr>
          <w:sz w:val="20"/>
        </w:rPr>
        <w:t xml:space="preserve">SCCD’s recommendation that </w:t>
      </w:r>
      <w:r w:rsidR="00A83C90">
        <w:rPr>
          <w:sz w:val="20"/>
        </w:rPr>
        <w:t xml:space="preserve">departments contemplate issues related to </w:t>
      </w:r>
      <w:r w:rsidR="00F80E0A">
        <w:rPr>
          <w:sz w:val="20"/>
        </w:rPr>
        <w:t xml:space="preserve">student access </w:t>
      </w:r>
      <w:r w:rsidR="00A83C90">
        <w:rPr>
          <w:sz w:val="20"/>
        </w:rPr>
        <w:t>and diversity during decennial reviews</w:t>
      </w:r>
      <w:r w:rsidR="00A03707">
        <w:rPr>
          <w:sz w:val="20"/>
        </w:rPr>
        <w:t xml:space="preserve">.  We are </w:t>
      </w:r>
      <w:r w:rsidR="00A86265">
        <w:rPr>
          <w:sz w:val="20"/>
        </w:rPr>
        <w:t xml:space="preserve">poised </w:t>
      </w:r>
      <w:r w:rsidR="00A03707">
        <w:rPr>
          <w:sz w:val="20"/>
        </w:rPr>
        <w:t xml:space="preserve">to build on </w:t>
      </w:r>
      <w:r w:rsidR="00A83C90">
        <w:rPr>
          <w:sz w:val="20"/>
        </w:rPr>
        <w:t xml:space="preserve">this momentum </w:t>
      </w:r>
      <w:r w:rsidR="00A03707">
        <w:rPr>
          <w:sz w:val="20"/>
        </w:rPr>
        <w:t xml:space="preserve">with the </w:t>
      </w:r>
      <w:r w:rsidR="00CC31BA">
        <w:rPr>
          <w:sz w:val="20"/>
        </w:rPr>
        <w:t xml:space="preserve">expansion of AEMES programs, including </w:t>
      </w:r>
      <w:r w:rsidR="00A03707">
        <w:rPr>
          <w:sz w:val="20"/>
        </w:rPr>
        <w:t>welcom</w:t>
      </w:r>
      <w:r w:rsidR="00CC31BA">
        <w:rPr>
          <w:sz w:val="20"/>
        </w:rPr>
        <w:t>ing</w:t>
      </w:r>
      <w:r w:rsidR="00A03707">
        <w:rPr>
          <w:sz w:val="20"/>
        </w:rPr>
        <w:t xml:space="preserve"> our first STEM Posse cohort in the fall of 2015.  </w:t>
      </w:r>
      <w:r w:rsidR="00F3784D">
        <w:rPr>
          <w:sz w:val="20"/>
        </w:rPr>
        <w:t xml:space="preserve">  </w:t>
      </w:r>
      <w:r w:rsidR="00F3784D" w:rsidRPr="00F3784D">
        <w:rPr>
          <w:sz w:val="20"/>
        </w:rPr>
        <w:t xml:space="preserve">  </w:t>
      </w:r>
      <w:r w:rsidR="00670D22">
        <w:rPr>
          <w:sz w:val="20"/>
        </w:rPr>
        <w:t xml:space="preserve"> </w:t>
      </w:r>
    </w:p>
    <w:p w:rsidR="00670D22" w:rsidRDefault="002C379B" w:rsidP="00670D22">
      <w:pPr>
        <w:rPr>
          <w:sz w:val="20"/>
        </w:rPr>
      </w:pPr>
      <w:r>
        <w:rPr>
          <w:sz w:val="20"/>
        </w:rPr>
        <w:t>According to the American Association of University Women’s seminal</w:t>
      </w:r>
      <w:r w:rsidR="00E6670B">
        <w:rPr>
          <w:sz w:val="20"/>
        </w:rPr>
        <w:t xml:space="preserve"> report</w:t>
      </w:r>
      <w:r>
        <w:rPr>
          <w:sz w:val="20"/>
        </w:rPr>
        <w:t xml:space="preserve">, </w:t>
      </w:r>
      <w:r>
        <w:rPr>
          <w:i/>
          <w:sz w:val="20"/>
        </w:rPr>
        <w:t>Why so few?</w:t>
      </w:r>
      <w:r>
        <w:rPr>
          <w:sz w:val="20"/>
        </w:rPr>
        <w:t xml:space="preserve"> (Hill et al., 2010), there are three broad sets of interrelated factors that contribute to women’s underrepresentation in STEM fields, including bias, social and environmental factors, and </w:t>
      </w:r>
      <w:r w:rsidR="00A86265">
        <w:rPr>
          <w:sz w:val="20"/>
        </w:rPr>
        <w:t>most relevant to this report</w:t>
      </w:r>
      <w:r>
        <w:rPr>
          <w:sz w:val="20"/>
        </w:rPr>
        <w:t xml:space="preserve">, the college environment.  </w:t>
      </w:r>
      <w:r w:rsidR="00A86265">
        <w:rPr>
          <w:sz w:val="20"/>
        </w:rPr>
        <w:t xml:space="preserve">Because </w:t>
      </w:r>
      <w:r w:rsidR="00754C4F">
        <w:rPr>
          <w:sz w:val="20"/>
        </w:rPr>
        <w:t>Smith</w:t>
      </w:r>
      <w:r w:rsidR="00A03707">
        <w:rPr>
          <w:sz w:val="20"/>
        </w:rPr>
        <w:t xml:space="preserve"> College</w:t>
      </w:r>
      <w:r w:rsidR="00A86265">
        <w:rPr>
          <w:sz w:val="20"/>
        </w:rPr>
        <w:t xml:space="preserve"> has made ac</w:t>
      </w:r>
      <w:r w:rsidR="00A03707">
        <w:rPr>
          <w:sz w:val="20"/>
        </w:rPr>
        <w:t>cess and diversity a core institutional value</w:t>
      </w:r>
      <w:r w:rsidR="00A86265">
        <w:rPr>
          <w:sz w:val="20"/>
        </w:rPr>
        <w:t xml:space="preserve">, and because the sciences have successfully implemented programs that </w:t>
      </w:r>
      <w:r w:rsidR="00A03707">
        <w:rPr>
          <w:sz w:val="20"/>
        </w:rPr>
        <w:t xml:space="preserve">support students from a variety of backgrounds, we see promise and opportunity to </w:t>
      </w:r>
      <w:r w:rsidR="00A86265">
        <w:rPr>
          <w:sz w:val="20"/>
        </w:rPr>
        <w:t xml:space="preserve">build on our successes.  We </w:t>
      </w:r>
      <w:r w:rsidR="00670D22">
        <w:rPr>
          <w:sz w:val="20"/>
        </w:rPr>
        <w:t>recogniz</w:t>
      </w:r>
      <w:r w:rsidR="00A86265">
        <w:rPr>
          <w:sz w:val="20"/>
        </w:rPr>
        <w:t>e</w:t>
      </w:r>
      <w:r w:rsidR="00670D22">
        <w:rPr>
          <w:sz w:val="20"/>
        </w:rPr>
        <w:t xml:space="preserve"> that pedagogies and learning </w:t>
      </w:r>
      <w:r w:rsidR="00F80E0A">
        <w:rPr>
          <w:sz w:val="20"/>
        </w:rPr>
        <w:t>spaces must be infused with this strategic commitment</w:t>
      </w:r>
      <w:r w:rsidR="00670D22">
        <w:rPr>
          <w:sz w:val="20"/>
        </w:rPr>
        <w:t xml:space="preserve">.  The ways in which we design introductory courses, articulate performance expectations, provide student feedback, relate </w:t>
      </w:r>
      <w:r w:rsidR="009536E4">
        <w:rPr>
          <w:sz w:val="20"/>
        </w:rPr>
        <w:t>our dis</w:t>
      </w:r>
      <w:r w:rsidR="00670D22">
        <w:rPr>
          <w:sz w:val="20"/>
        </w:rPr>
        <w:t>ciplines to real-world challenges, and communicate our notions of potential for, and talent in, the sciences all must work in concert to honor the value we place on access and diversity.</w:t>
      </w:r>
      <w:r w:rsidR="009536E4">
        <w:rPr>
          <w:sz w:val="20"/>
        </w:rPr>
        <w:t xml:space="preserve">  </w:t>
      </w:r>
      <w:r w:rsidR="00670D22">
        <w:rPr>
          <w:sz w:val="20"/>
        </w:rPr>
        <w:t xml:space="preserve">     </w:t>
      </w:r>
    </w:p>
    <w:p w:rsidR="00A03707" w:rsidRPr="003D67F5" w:rsidRDefault="003D67F5" w:rsidP="003D67F5">
      <w:pPr>
        <w:rPr>
          <w:color w:val="005A81"/>
          <w:sz w:val="20"/>
        </w:rPr>
      </w:pPr>
      <w:r>
        <w:rPr>
          <w:color w:val="005A81"/>
          <w:sz w:val="20"/>
        </w:rPr>
        <w:t>Guiding Principle</w:t>
      </w:r>
      <w:r w:rsidR="00FE165B" w:rsidRPr="00D55727">
        <w:rPr>
          <w:color w:val="00B0F0"/>
          <w:sz w:val="20"/>
        </w:rPr>
        <w:t xml:space="preserve">  </w:t>
      </w:r>
    </w:p>
    <w:p w:rsidR="00A8289D" w:rsidRDefault="00A8289D" w:rsidP="00FE165B">
      <w:pPr>
        <w:rPr>
          <w:sz w:val="20"/>
        </w:rPr>
      </w:pPr>
      <w:r>
        <w:rPr>
          <w:sz w:val="20"/>
        </w:rPr>
        <w:t>Persistence and the best scientific thinking emerge from health</w:t>
      </w:r>
      <w:r w:rsidR="00E6670B">
        <w:rPr>
          <w:sz w:val="20"/>
        </w:rPr>
        <w:t>y</w:t>
      </w:r>
      <w:r>
        <w:rPr>
          <w:sz w:val="20"/>
        </w:rPr>
        <w:t xml:space="preserve"> climates that promote and value a diversity of perspectives.  </w:t>
      </w:r>
    </w:p>
    <w:p w:rsidR="0089743A" w:rsidRDefault="0089743A">
      <w:pPr>
        <w:rPr>
          <w:sz w:val="20"/>
        </w:rPr>
      </w:pPr>
      <w:r>
        <w:rPr>
          <w:sz w:val="20"/>
        </w:rPr>
        <w:br w:type="page"/>
      </w:r>
    </w:p>
    <w:p w:rsidR="003D67F5" w:rsidRPr="007E74D3" w:rsidRDefault="003D67F5" w:rsidP="003D67F5">
      <w:pPr>
        <w:pStyle w:val="Heading1"/>
        <w:rPr>
          <w:color w:val="EAAF0F"/>
          <w:sz w:val="36"/>
        </w:rPr>
      </w:pPr>
      <w:r>
        <w:t xml:space="preserve">  </w:t>
      </w:r>
      <w:r>
        <w:rPr>
          <w:noProof/>
          <w:sz w:val="20"/>
          <w:lang w:eastAsia="en-US"/>
        </w:rPr>
        <w:drawing>
          <wp:inline distT="0" distB="0" distL="0" distR="0" wp14:anchorId="08548C0E" wp14:editId="2E8DA019">
            <wp:extent cx="557825" cy="583703"/>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lobe clipart.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611446" cy="639812"/>
                    </a:xfrm>
                    <a:prstGeom prst="rect">
                      <a:avLst/>
                    </a:prstGeom>
                  </pic:spPr>
                </pic:pic>
              </a:graphicData>
            </a:graphic>
          </wp:inline>
        </w:drawing>
      </w:r>
      <w:r w:rsidRPr="007E74D3">
        <w:rPr>
          <w:color w:val="EAAF0F"/>
          <w:sz w:val="36"/>
        </w:rPr>
        <w:t>Strateg</w:t>
      </w:r>
      <w:r>
        <w:rPr>
          <w:color w:val="EAAF0F"/>
          <w:sz w:val="36"/>
        </w:rPr>
        <w:t>ic Direction II: Engaging With t</w:t>
      </w:r>
      <w:r w:rsidRPr="007E74D3">
        <w:rPr>
          <w:color w:val="EAAF0F"/>
          <w:sz w:val="36"/>
        </w:rPr>
        <w:t>he World</w:t>
      </w:r>
    </w:p>
    <w:p w:rsidR="003D67F5" w:rsidRPr="007E74D3" w:rsidRDefault="003D67F5" w:rsidP="003D67F5">
      <w:pPr>
        <w:rPr>
          <w:color w:val="EAAF0F"/>
        </w:rPr>
      </w:pPr>
      <w:r w:rsidRPr="007E74D3">
        <w:rPr>
          <w:noProof/>
          <w:color w:val="EAAF0F"/>
          <w:lang w:eastAsia="en-US"/>
        </w:rPr>
        <mc:AlternateContent>
          <mc:Choice Requires="wps">
            <w:drawing>
              <wp:anchor distT="0" distB="0" distL="114300" distR="114300" simplePos="0" relativeHeight="251692032" behindDoc="0" locked="0" layoutInCell="1" allowOverlap="1" wp14:anchorId="0A439C9A" wp14:editId="5EDB784A">
                <wp:simplePos x="0" y="0"/>
                <wp:positionH relativeFrom="margin">
                  <wp:align>right</wp:align>
                </wp:positionH>
                <wp:positionV relativeFrom="paragraph">
                  <wp:posOffset>12699</wp:posOffset>
                </wp:positionV>
                <wp:extent cx="63817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381750" cy="9525"/>
                        </a:xfrm>
                        <a:prstGeom prst="line">
                          <a:avLst/>
                        </a:prstGeom>
                        <a:ln w="19050">
                          <a:solidFill>
                            <a:srgbClr val="EAAF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B813D" id="Straight Connector 12" o:spid="_x0000_s1026" style="position:absolute;flip:y;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1pt" to="95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" strokecolor="#eaaf0f" strokeweight="1.5pt">
                <v:stroke endcap="round"/>
                <w10:wrap anchorx="margin"/>
              </v:line>
            </w:pict>
          </mc:Fallback>
        </mc:AlternateContent>
      </w:r>
    </w:p>
    <w:p w:rsidR="003D67F5" w:rsidRPr="00101650" w:rsidRDefault="003D67F5" w:rsidP="003D67F5">
      <w:pPr>
        <w:spacing w:before="400" w:after="40" w:line="240" w:lineRule="auto"/>
        <w:ind w:left="720" w:right="1440"/>
        <w:jc w:val="both"/>
        <w:rPr>
          <w:color w:val="BF8F00" w:themeColor="accent4" w:themeShade="BF"/>
          <w:sz w:val="16"/>
        </w:rPr>
      </w:pPr>
      <w:r w:rsidRPr="00101650">
        <w:rPr>
          <w:i/>
          <w:color w:val="BF8F00" w:themeColor="accent4" w:themeShade="BF"/>
          <w:sz w:val="22"/>
        </w:rPr>
        <w:t xml:space="preserve">The sciences at Smith will strive to engage our students with complex, real-world problems, ranging from local to global, that are often best understood through </w:t>
      </w:r>
      <w:r w:rsidR="00101650" w:rsidRPr="00101650">
        <w:rPr>
          <w:i/>
          <w:color w:val="BF8F00" w:themeColor="accent4" w:themeShade="BF"/>
          <w:sz w:val="22"/>
        </w:rPr>
        <w:t xml:space="preserve">the </w:t>
      </w:r>
      <w:r w:rsidRPr="00101650">
        <w:rPr>
          <w:i/>
          <w:color w:val="BF8F00" w:themeColor="accent4" w:themeShade="BF"/>
          <w:sz w:val="22"/>
        </w:rPr>
        <w:t>multiple</w:t>
      </w:r>
      <w:r w:rsidR="00101650" w:rsidRPr="00101650">
        <w:rPr>
          <w:i/>
          <w:color w:val="BF8F00" w:themeColor="accent4" w:themeShade="BF"/>
          <w:sz w:val="22"/>
        </w:rPr>
        <w:t xml:space="preserve"> disciplinary </w:t>
      </w:r>
      <w:r w:rsidRPr="00101650">
        <w:rPr>
          <w:i/>
          <w:color w:val="BF8F00" w:themeColor="accent4" w:themeShade="BF"/>
          <w:sz w:val="22"/>
        </w:rPr>
        <w:t>lenses</w:t>
      </w:r>
      <w:r w:rsidR="00101650" w:rsidRPr="00101650">
        <w:rPr>
          <w:i/>
          <w:color w:val="BF8F00" w:themeColor="accent4" w:themeShade="BF"/>
          <w:sz w:val="22"/>
        </w:rPr>
        <w:t xml:space="preserve"> of the liberal arts</w:t>
      </w:r>
      <w:r w:rsidRPr="00101650">
        <w:rPr>
          <w:i/>
          <w:color w:val="BF8F00" w:themeColor="accent4" w:themeShade="BF"/>
          <w:sz w:val="22"/>
        </w:rPr>
        <w:t>.</w:t>
      </w:r>
    </w:p>
    <w:p w:rsidR="003D67F5" w:rsidRPr="007E74D3" w:rsidRDefault="003D67F5" w:rsidP="003D67F5">
      <w:pPr>
        <w:rPr>
          <w:color w:val="EAAF0F"/>
          <w:sz w:val="20"/>
        </w:rPr>
      </w:pPr>
    </w:p>
    <w:p w:rsidR="00BF17B4" w:rsidRDefault="00F800E4" w:rsidP="008C7BC4">
      <w:pPr>
        <w:rPr>
          <w:sz w:val="20"/>
        </w:rPr>
      </w:pPr>
      <w:r>
        <w:rPr>
          <w:sz w:val="20"/>
        </w:rPr>
        <w:t xml:space="preserve">By engaging our students with the complexity of </w:t>
      </w:r>
      <w:r w:rsidR="00A86265">
        <w:rPr>
          <w:sz w:val="20"/>
        </w:rPr>
        <w:t xml:space="preserve">real world problems </w:t>
      </w:r>
      <w:r>
        <w:rPr>
          <w:sz w:val="20"/>
        </w:rPr>
        <w:t>using the breadth of their liberal arts education, we prepare them to participate meaningful</w:t>
      </w:r>
      <w:r w:rsidR="002C379B">
        <w:rPr>
          <w:sz w:val="20"/>
        </w:rPr>
        <w:t>ly</w:t>
      </w:r>
      <w:r>
        <w:rPr>
          <w:sz w:val="20"/>
        </w:rPr>
        <w:t xml:space="preserve"> </w:t>
      </w:r>
      <w:r w:rsidR="00A83C90">
        <w:rPr>
          <w:sz w:val="20"/>
        </w:rPr>
        <w:t xml:space="preserve">in addressing </w:t>
      </w:r>
      <w:r>
        <w:rPr>
          <w:sz w:val="20"/>
        </w:rPr>
        <w:t xml:space="preserve">society’s challenges.  </w:t>
      </w:r>
      <w:r w:rsidR="007C5D86">
        <w:rPr>
          <w:sz w:val="20"/>
        </w:rPr>
        <w:t>Providing opportunities for students to engage with big questions and tackle real-world problems that connect their knowledge to solutions and action are essential principles of excellence in undergraduate education (AA</w:t>
      </w:r>
      <w:r>
        <w:rPr>
          <w:sz w:val="20"/>
        </w:rPr>
        <w:t>C&amp;U</w:t>
      </w:r>
      <w:r w:rsidR="007C5D86">
        <w:rPr>
          <w:sz w:val="20"/>
        </w:rPr>
        <w:t xml:space="preserve">, 2011).  In the sciences, educators have called for teaching disciplinary knowledge within </w:t>
      </w:r>
      <w:r w:rsidR="00BF17B4">
        <w:rPr>
          <w:sz w:val="20"/>
        </w:rPr>
        <w:t>a societal context</w:t>
      </w:r>
      <w:r w:rsidR="007C5D86">
        <w:rPr>
          <w:sz w:val="20"/>
        </w:rPr>
        <w:t xml:space="preserve">, noting the importance of achieving conceptual understanding </w:t>
      </w:r>
      <w:r w:rsidR="00BF17B4">
        <w:rPr>
          <w:sz w:val="20"/>
        </w:rPr>
        <w:t>by expecting students to grapple with authentic scientific problems in the world (A</w:t>
      </w:r>
      <w:r w:rsidR="00A86265">
        <w:rPr>
          <w:sz w:val="20"/>
        </w:rPr>
        <w:t xml:space="preserve">merican </w:t>
      </w:r>
      <w:r w:rsidR="00BF17B4">
        <w:rPr>
          <w:sz w:val="20"/>
        </w:rPr>
        <w:t>A</w:t>
      </w:r>
      <w:r w:rsidR="00A86265">
        <w:rPr>
          <w:sz w:val="20"/>
        </w:rPr>
        <w:t>ssociation for the Advancement of Science</w:t>
      </w:r>
      <w:r w:rsidR="00BF17B4">
        <w:rPr>
          <w:sz w:val="20"/>
        </w:rPr>
        <w:t>, 2010).  Furthermore, every real-world challenge requires engagement beyond the limits of any one disciplinary perspective, with many sciences explicitly articulating th</w:t>
      </w:r>
      <w:r w:rsidR="007D2C51">
        <w:rPr>
          <w:sz w:val="20"/>
        </w:rPr>
        <w:t xml:space="preserve">at </w:t>
      </w:r>
      <w:proofErr w:type="spellStart"/>
      <w:r w:rsidR="00BF17B4">
        <w:rPr>
          <w:sz w:val="20"/>
        </w:rPr>
        <w:t>interdisciplinarity</w:t>
      </w:r>
      <w:proofErr w:type="spellEnd"/>
      <w:r w:rsidR="007D2C51">
        <w:rPr>
          <w:sz w:val="20"/>
        </w:rPr>
        <w:t xml:space="preserve">, across STEM fields as well as the humanities and social sciences, is integral to </w:t>
      </w:r>
      <w:r w:rsidR="00F773A3">
        <w:rPr>
          <w:sz w:val="20"/>
        </w:rPr>
        <w:t>the success and dissemination of their</w:t>
      </w:r>
      <w:r w:rsidR="007D2C51">
        <w:rPr>
          <w:sz w:val="20"/>
        </w:rPr>
        <w:t xml:space="preserve"> </w:t>
      </w:r>
      <w:r w:rsidR="00BF17B4">
        <w:rPr>
          <w:sz w:val="20"/>
        </w:rPr>
        <w:t>work (AAA</w:t>
      </w:r>
      <w:r w:rsidR="00B70C59">
        <w:rPr>
          <w:sz w:val="20"/>
        </w:rPr>
        <w:t>S, 2010)</w:t>
      </w:r>
      <w:r w:rsidR="00BF17B4">
        <w:rPr>
          <w:sz w:val="20"/>
        </w:rPr>
        <w:t xml:space="preserve">.  </w:t>
      </w:r>
    </w:p>
    <w:p w:rsidR="00467D27" w:rsidRPr="00C020C8" w:rsidRDefault="00B70C59" w:rsidP="00467D27">
      <w:pPr>
        <w:rPr>
          <w:sz w:val="20"/>
        </w:rPr>
      </w:pPr>
      <w:r>
        <w:rPr>
          <w:sz w:val="20"/>
        </w:rPr>
        <w:t>W</w:t>
      </w:r>
      <w:r w:rsidR="00600DD8">
        <w:rPr>
          <w:sz w:val="20"/>
        </w:rPr>
        <w:t xml:space="preserve">e see </w:t>
      </w:r>
      <w:r w:rsidR="00A86265">
        <w:rPr>
          <w:sz w:val="20"/>
        </w:rPr>
        <w:t xml:space="preserve">opportunities for growth by harnessing the </w:t>
      </w:r>
      <w:r>
        <w:rPr>
          <w:sz w:val="20"/>
        </w:rPr>
        <w:t xml:space="preserve">“power of the liberal arts” </w:t>
      </w:r>
      <w:r w:rsidR="00600DD8">
        <w:rPr>
          <w:sz w:val="20"/>
        </w:rPr>
        <w:t xml:space="preserve">at Smith </w:t>
      </w:r>
      <w:r w:rsidR="00A86265">
        <w:rPr>
          <w:sz w:val="20"/>
        </w:rPr>
        <w:t xml:space="preserve">to </w:t>
      </w:r>
      <w:r>
        <w:rPr>
          <w:sz w:val="20"/>
        </w:rPr>
        <w:t xml:space="preserve">the sciences’ success in </w:t>
      </w:r>
      <w:r w:rsidR="00F94DFA">
        <w:rPr>
          <w:sz w:val="20"/>
        </w:rPr>
        <w:t xml:space="preserve">meaningfully engaging students with authentic and relevant </w:t>
      </w:r>
      <w:r w:rsidR="00D87D08">
        <w:rPr>
          <w:sz w:val="20"/>
        </w:rPr>
        <w:t xml:space="preserve">societal </w:t>
      </w:r>
      <w:r w:rsidR="00F94DFA">
        <w:rPr>
          <w:sz w:val="20"/>
        </w:rPr>
        <w:t xml:space="preserve">questions.  </w:t>
      </w:r>
      <w:r w:rsidR="005D2D27">
        <w:rPr>
          <w:sz w:val="20"/>
        </w:rPr>
        <w:t>W</w:t>
      </w:r>
      <w:r w:rsidR="004C546E">
        <w:rPr>
          <w:sz w:val="20"/>
        </w:rPr>
        <w:t xml:space="preserve">ith a significant number of international students, the resources of the Lewis Global Studies Center, and increasing opportunities for our science students to study abroad, the sciences at Smith are well-poised to engage our students as responsible citizens of the world.  </w:t>
      </w:r>
      <w:r w:rsidR="00AA56A5">
        <w:rPr>
          <w:sz w:val="20"/>
        </w:rPr>
        <w:t xml:space="preserve">We can build on the successes of the existing capstone experiences and integrative learning opportunities </w:t>
      </w:r>
      <w:r w:rsidR="00C56BF8">
        <w:rPr>
          <w:sz w:val="20"/>
        </w:rPr>
        <w:t>across</w:t>
      </w:r>
      <w:r w:rsidR="00AA56A5">
        <w:rPr>
          <w:sz w:val="20"/>
        </w:rPr>
        <w:t xml:space="preserve"> our curricul</w:t>
      </w:r>
      <w:r w:rsidR="00C56BF8">
        <w:rPr>
          <w:sz w:val="20"/>
        </w:rPr>
        <w:t>um</w:t>
      </w:r>
      <w:r w:rsidR="00101650">
        <w:rPr>
          <w:sz w:val="20"/>
        </w:rPr>
        <w:t xml:space="preserve"> as well as at </w:t>
      </w:r>
      <w:r w:rsidR="004C546E">
        <w:rPr>
          <w:sz w:val="20"/>
        </w:rPr>
        <w:t>the College’s Centers</w:t>
      </w:r>
      <w:r w:rsidR="005D2D27">
        <w:rPr>
          <w:sz w:val="20"/>
        </w:rPr>
        <w:t xml:space="preserve"> for Engagement, Learning, and Leadership </w:t>
      </w:r>
      <w:r w:rsidR="00AA56A5">
        <w:rPr>
          <w:sz w:val="20"/>
        </w:rPr>
        <w:t>in which our faculty</w:t>
      </w:r>
      <w:r w:rsidR="00F773A3">
        <w:rPr>
          <w:sz w:val="20"/>
        </w:rPr>
        <w:t>, staff,</w:t>
      </w:r>
      <w:r w:rsidR="00AA56A5">
        <w:rPr>
          <w:sz w:val="20"/>
        </w:rPr>
        <w:t xml:space="preserve"> and students partner with industry, government, and non-profit </w:t>
      </w:r>
      <w:r w:rsidR="00101650">
        <w:rPr>
          <w:sz w:val="20"/>
        </w:rPr>
        <w:t xml:space="preserve">and community </w:t>
      </w:r>
      <w:r w:rsidR="00AA56A5">
        <w:rPr>
          <w:sz w:val="20"/>
        </w:rPr>
        <w:t xml:space="preserve">organizations </w:t>
      </w:r>
      <w:r w:rsidR="00C56BF8">
        <w:rPr>
          <w:sz w:val="20"/>
        </w:rPr>
        <w:t>to address real-world challenges.  We need to invest further effort in even better integrating</w:t>
      </w:r>
      <w:r w:rsidR="00F94DFA">
        <w:rPr>
          <w:sz w:val="20"/>
        </w:rPr>
        <w:t xml:space="preserve"> scientific knowledge with the surrounding world (Hill et al., </w:t>
      </w:r>
      <w:r w:rsidR="001F076F">
        <w:rPr>
          <w:sz w:val="20"/>
        </w:rPr>
        <w:t>2010</w:t>
      </w:r>
      <w:r w:rsidR="00F94DFA">
        <w:rPr>
          <w:sz w:val="20"/>
        </w:rPr>
        <w:t xml:space="preserve">), while fostering connections across disciplines </w:t>
      </w:r>
      <w:r w:rsidR="0076325A">
        <w:rPr>
          <w:sz w:val="20"/>
        </w:rPr>
        <w:t xml:space="preserve">at </w:t>
      </w:r>
      <w:r w:rsidR="00F94DFA">
        <w:rPr>
          <w:sz w:val="20"/>
        </w:rPr>
        <w:t xml:space="preserve">and beyond the college in order to </w:t>
      </w:r>
      <w:r w:rsidR="001F076F">
        <w:rPr>
          <w:sz w:val="20"/>
        </w:rPr>
        <w:t>cultivate t</w:t>
      </w:r>
      <w:r w:rsidR="00F94DFA">
        <w:rPr>
          <w:sz w:val="20"/>
        </w:rPr>
        <w:t>he curiosity and passion of our st</w:t>
      </w:r>
      <w:r w:rsidR="001F076F">
        <w:rPr>
          <w:sz w:val="20"/>
        </w:rPr>
        <w:t>udents and prepare them for the complexities of tomorrow.</w:t>
      </w:r>
      <w:r w:rsidR="00467D27">
        <w:rPr>
          <w:sz w:val="20"/>
        </w:rPr>
        <w:t xml:space="preserve">  </w:t>
      </w:r>
      <w:r w:rsidR="00600DD8">
        <w:rPr>
          <w:sz w:val="20"/>
        </w:rPr>
        <w:t xml:space="preserve">We also need to </w:t>
      </w:r>
      <w:r w:rsidR="00B260D8">
        <w:rPr>
          <w:sz w:val="20"/>
        </w:rPr>
        <w:t>recr</w:t>
      </w:r>
      <w:r w:rsidR="0076325A">
        <w:rPr>
          <w:sz w:val="20"/>
        </w:rPr>
        <w:t>uit and develop faculty who can b</w:t>
      </w:r>
      <w:r w:rsidR="00B260D8">
        <w:rPr>
          <w:sz w:val="20"/>
        </w:rPr>
        <w:t xml:space="preserve">oth </w:t>
      </w:r>
      <w:r w:rsidR="0076325A">
        <w:rPr>
          <w:sz w:val="20"/>
        </w:rPr>
        <w:t xml:space="preserve">participate as </w:t>
      </w:r>
      <w:r w:rsidR="00B260D8">
        <w:rPr>
          <w:sz w:val="20"/>
        </w:rPr>
        <w:t xml:space="preserve">active members of the international community of researchers and take broad-thinking, articulate, creative approaches to communicating research.  </w:t>
      </w:r>
      <w:r w:rsidR="00467D27">
        <w:rPr>
          <w:sz w:val="20"/>
        </w:rPr>
        <w:t>Through such efforts, we can solidify and expand Smith’s re</w:t>
      </w:r>
      <w:r w:rsidR="00467D27" w:rsidRPr="00C020C8">
        <w:rPr>
          <w:sz w:val="20"/>
        </w:rPr>
        <w:t xml:space="preserve">putation as a “college of and for the world.” </w:t>
      </w:r>
    </w:p>
    <w:p w:rsidR="00A03707" w:rsidRPr="00E402BE" w:rsidRDefault="003D67F5" w:rsidP="00FE165B">
      <w:pPr>
        <w:rPr>
          <w:color w:val="BF8F00" w:themeColor="accent4" w:themeShade="BF"/>
          <w:sz w:val="20"/>
        </w:rPr>
      </w:pPr>
      <w:r w:rsidRPr="00E402BE">
        <w:rPr>
          <w:color w:val="BF8F00" w:themeColor="accent4" w:themeShade="BF"/>
          <w:sz w:val="20"/>
        </w:rPr>
        <w:t xml:space="preserve">Guiding Principle  </w:t>
      </w:r>
      <w:r w:rsidR="008C7BC4" w:rsidRPr="00E402BE">
        <w:rPr>
          <w:color w:val="BF8F00" w:themeColor="accent4" w:themeShade="BF"/>
          <w:sz w:val="20"/>
        </w:rPr>
        <w:t xml:space="preserve">  </w:t>
      </w:r>
    </w:p>
    <w:p w:rsidR="00FE165B" w:rsidRDefault="00165C89" w:rsidP="00FE165B">
      <w:pPr>
        <w:rPr>
          <w:sz w:val="20"/>
        </w:rPr>
      </w:pPr>
      <w:r>
        <w:rPr>
          <w:sz w:val="20"/>
        </w:rPr>
        <w:t>I</w:t>
      </w:r>
      <w:r w:rsidR="00A8289D">
        <w:rPr>
          <w:sz w:val="20"/>
        </w:rPr>
        <w:t xml:space="preserve">nteractions with bona fide </w:t>
      </w:r>
      <w:r w:rsidR="00FE165B">
        <w:rPr>
          <w:sz w:val="20"/>
        </w:rPr>
        <w:t>scientific problems</w:t>
      </w:r>
      <w:r w:rsidR="00A8289D">
        <w:rPr>
          <w:sz w:val="20"/>
        </w:rPr>
        <w:t xml:space="preserve"> connecting our stud</w:t>
      </w:r>
      <w:r w:rsidR="00194CA9">
        <w:rPr>
          <w:sz w:val="20"/>
        </w:rPr>
        <w:t>ents to the larger world facilitate</w:t>
      </w:r>
      <w:r w:rsidR="00A8289D">
        <w:rPr>
          <w:sz w:val="20"/>
        </w:rPr>
        <w:t xml:space="preserve"> the best learning</w:t>
      </w:r>
      <w:r w:rsidR="00FE165B">
        <w:rPr>
          <w:sz w:val="20"/>
        </w:rPr>
        <w:t xml:space="preserve">. </w:t>
      </w:r>
    </w:p>
    <w:p w:rsidR="003D67F5" w:rsidRPr="007E74D3" w:rsidRDefault="003D67F5" w:rsidP="003D67F5">
      <w:pPr>
        <w:pStyle w:val="Heading1"/>
        <w:rPr>
          <w:color w:val="542344"/>
          <w:sz w:val="36"/>
        </w:rPr>
      </w:pPr>
      <w:r>
        <w:t xml:space="preserve">  </w:t>
      </w:r>
      <w:r>
        <w:rPr>
          <w:noProof/>
          <w:sz w:val="20"/>
          <w:lang w:eastAsia="en-US"/>
        </w:rPr>
        <w:drawing>
          <wp:inline distT="0" distB="0" distL="0" distR="0" wp14:anchorId="6B89E144" wp14:editId="2393D435">
            <wp:extent cx="461010" cy="4610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icroscope clipart sma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6260" cy="476260"/>
                    </a:xfrm>
                    <a:prstGeom prst="rect">
                      <a:avLst/>
                    </a:prstGeom>
                  </pic:spPr>
                </pic:pic>
              </a:graphicData>
            </a:graphic>
          </wp:inline>
        </w:drawing>
      </w:r>
      <w:r>
        <w:t xml:space="preserve"> </w:t>
      </w:r>
      <w:r w:rsidRPr="00E402BE">
        <w:rPr>
          <w:color w:val="542344"/>
          <w:sz w:val="36"/>
        </w:rPr>
        <w:t>Strategic Direction</w:t>
      </w:r>
      <w:r w:rsidRPr="007E74D3">
        <w:rPr>
          <w:color w:val="542344"/>
          <w:sz w:val="36"/>
        </w:rPr>
        <w:t xml:space="preserve"> III: Developing Knowledge &amp; Skills</w:t>
      </w:r>
    </w:p>
    <w:p w:rsidR="003D67F5" w:rsidRPr="007E74D3" w:rsidRDefault="003D67F5" w:rsidP="003D67F5">
      <w:pPr>
        <w:rPr>
          <w:color w:val="542344"/>
        </w:rPr>
      </w:pPr>
      <w:r w:rsidRPr="007E74D3">
        <w:rPr>
          <w:noProof/>
          <w:color w:val="542344"/>
          <w:lang w:eastAsia="en-US"/>
        </w:rPr>
        <mc:AlternateContent>
          <mc:Choice Requires="wps">
            <w:drawing>
              <wp:anchor distT="0" distB="0" distL="114300" distR="114300" simplePos="0" relativeHeight="251694080" behindDoc="0" locked="0" layoutInCell="1" allowOverlap="1" wp14:anchorId="7940BB4F" wp14:editId="435EBF88">
                <wp:simplePos x="0" y="0"/>
                <wp:positionH relativeFrom="margin">
                  <wp:align>right</wp:align>
                </wp:positionH>
                <wp:positionV relativeFrom="paragraph">
                  <wp:posOffset>6349</wp:posOffset>
                </wp:positionV>
                <wp:extent cx="63817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6381750" cy="9525"/>
                        </a:xfrm>
                        <a:prstGeom prst="line">
                          <a:avLst/>
                        </a:prstGeom>
                        <a:ln w="19050">
                          <a:solidFill>
                            <a:srgbClr val="5423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63FC6" id="Straight Connector 13" o:spid="_x0000_s1026" style="position:absolute;flip:y;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5pt" to="95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" strokecolor="#542344" strokeweight="1.5pt">
                <v:stroke endcap="round"/>
                <w10:wrap anchorx="margin"/>
              </v:line>
            </w:pict>
          </mc:Fallback>
        </mc:AlternateContent>
      </w:r>
    </w:p>
    <w:p w:rsidR="003D67F5" w:rsidRPr="007E74D3" w:rsidRDefault="00194CA9" w:rsidP="003D67F5">
      <w:pPr>
        <w:spacing w:before="400" w:after="40" w:line="240" w:lineRule="auto"/>
        <w:ind w:left="720" w:right="1440"/>
        <w:jc w:val="both"/>
        <w:rPr>
          <w:color w:val="542344"/>
        </w:rPr>
      </w:pPr>
      <w:r>
        <w:rPr>
          <w:i/>
          <w:color w:val="542344"/>
          <w:sz w:val="24"/>
        </w:rPr>
        <w:t xml:space="preserve">Through rigorous coursework and </w:t>
      </w:r>
      <w:r w:rsidR="003D67F5" w:rsidRPr="007E74D3">
        <w:rPr>
          <w:i/>
          <w:color w:val="542344"/>
          <w:sz w:val="24"/>
        </w:rPr>
        <w:t>undergraduate research opportunities that connect the work of students with cutting-edge faculty scholarship, we develop stud</w:t>
      </w:r>
      <w:r>
        <w:rPr>
          <w:i/>
          <w:color w:val="542344"/>
          <w:sz w:val="24"/>
        </w:rPr>
        <w:t xml:space="preserve">ent mastery of the key concepts and </w:t>
      </w:r>
      <w:r w:rsidR="003D67F5" w:rsidRPr="007E74D3">
        <w:rPr>
          <w:i/>
          <w:color w:val="542344"/>
          <w:sz w:val="24"/>
        </w:rPr>
        <w:t xml:space="preserve">competencies of our disciplines.   </w:t>
      </w:r>
    </w:p>
    <w:p w:rsidR="003D67F5" w:rsidRPr="007E74D3" w:rsidRDefault="003D67F5" w:rsidP="003D67F5">
      <w:pPr>
        <w:rPr>
          <w:color w:val="542344"/>
          <w:sz w:val="20"/>
        </w:rPr>
      </w:pPr>
    </w:p>
    <w:p w:rsidR="00F0741D" w:rsidRDefault="0051624B" w:rsidP="003D67F5">
      <w:pPr>
        <w:rPr>
          <w:sz w:val="20"/>
        </w:rPr>
      </w:pPr>
      <w:r>
        <w:rPr>
          <w:sz w:val="20"/>
        </w:rPr>
        <w:t xml:space="preserve">Helping </w:t>
      </w:r>
      <w:r w:rsidR="00C77399">
        <w:rPr>
          <w:sz w:val="20"/>
        </w:rPr>
        <w:t xml:space="preserve">today’s </w:t>
      </w:r>
      <w:r>
        <w:rPr>
          <w:sz w:val="20"/>
        </w:rPr>
        <w:t xml:space="preserve">students to develop </w:t>
      </w:r>
      <w:r w:rsidR="00AA56A5">
        <w:rPr>
          <w:sz w:val="20"/>
        </w:rPr>
        <w:t xml:space="preserve">information literacy and </w:t>
      </w:r>
      <w:r>
        <w:rPr>
          <w:sz w:val="20"/>
        </w:rPr>
        <w:t xml:space="preserve">disciplinary expertise is increasingly challenging, given </w:t>
      </w:r>
      <w:r w:rsidR="00A86265">
        <w:rPr>
          <w:sz w:val="20"/>
        </w:rPr>
        <w:t xml:space="preserve">the rapid pace of scientific, </w:t>
      </w:r>
      <w:r>
        <w:rPr>
          <w:sz w:val="20"/>
        </w:rPr>
        <w:t>technological</w:t>
      </w:r>
      <w:r w:rsidR="00A86265">
        <w:rPr>
          <w:sz w:val="20"/>
        </w:rPr>
        <w:t>,</w:t>
      </w:r>
      <w:r>
        <w:rPr>
          <w:sz w:val="20"/>
        </w:rPr>
        <w:t xml:space="preserve"> and methodological advances.  </w:t>
      </w:r>
      <w:r w:rsidR="00602F1F">
        <w:rPr>
          <w:sz w:val="20"/>
        </w:rPr>
        <w:t>As factual knowledge proliferates, our challenge as educators is to understand how best to cultivate our students’ deep conceptual understanding</w:t>
      </w:r>
      <w:r w:rsidR="00902347">
        <w:rPr>
          <w:sz w:val="20"/>
        </w:rPr>
        <w:t xml:space="preserve"> </w:t>
      </w:r>
      <w:r w:rsidR="000535ED">
        <w:rPr>
          <w:sz w:val="20"/>
        </w:rPr>
        <w:t xml:space="preserve">in a field of study </w:t>
      </w:r>
      <w:r w:rsidR="00A86265">
        <w:rPr>
          <w:sz w:val="20"/>
        </w:rPr>
        <w:t xml:space="preserve">so that they can </w:t>
      </w:r>
      <w:r w:rsidR="00602F1F">
        <w:rPr>
          <w:sz w:val="20"/>
        </w:rPr>
        <w:t xml:space="preserve">integrate information </w:t>
      </w:r>
      <w:r w:rsidR="00A86265">
        <w:rPr>
          <w:sz w:val="20"/>
        </w:rPr>
        <w:t xml:space="preserve">and transfer it to new situations </w:t>
      </w:r>
      <w:r w:rsidR="00602F1F">
        <w:rPr>
          <w:sz w:val="20"/>
        </w:rPr>
        <w:t xml:space="preserve">(National Research Council, 1999), especially when teaching learners with varying levels of preparation.  </w:t>
      </w:r>
      <w:r w:rsidR="00602F1F" w:rsidRPr="000535ED">
        <w:rPr>
          <w:sz w:val="20"/>
        </w:rPr>
        <w:t xml:space="preserve">This confluence of factors has led </w:t>
      </w:r>
      <w:r w:rsidR="000535ED" w:rsidRPr="000535ED">
        <w:rPr>
          <w:sz w:val="20"/>
        </w:rPr>
        <w:t xml:space="preserve">leadership groups of educators and learning scientists to call for </w:t>
      </w:r>
      <w:r w:rsidR="004E60F5" w:rsidRPr="000535ED">
        <w:rPr>
          <w:sz w:val="20"/>
        </w:rPr>
        <w:t xml:space="preserve">relevant, active, student-centered, and inquiry-driven </w:t>
      </w:r>
      <w:r w:rsidR="00602F1F" w:rsidRPr="000535ED">
        <w:rPr>
          <w:sz w:val="20"/>
        </w:rPr>
        <w:t xml:space="preserve">courses </w:t>
      </w:r>
      <w:r w:rsidR="000535ED">
        <w:rPr>
          <w:sz w:val="20"/>
        </w:rPr>
        <w:t>that incorporate high-i</w:t>
      </w:r>
      <w:r w:rsidR="00D96BE6">
        <w:rPr>
          <w:sz w:val="20"/>
        </w:rPr>
        <w:t>mpact educational practices</w:t>
      </w:r>
      <w:r w:rsidR="00602F1F" w:rsidRPr="000535ED">
        <w:rPr>
          <w:sz w:val="20"/>
        </w:rPr>
        <w:t xml:space="preserve"> (AAAS, 2010; </w:t>
      </w:r>
      <w:r w:rsidR="000535ED">
        <w:rPr>
          <w:sz w:val="20"/>
        </w:rPr>
        <w:t xml:space="preserve">AACU, 2011; </w:t>
      </w:r>
      <w:r w:rsidR="00602F1F" w:rsidRPr="000535ED">
        <w:rPr>
          <w:sz w:val="20"/>
        </w:rPr>
        <w:t>N</w:t>
      </w:r>
      <w:r w:rsidR="005D17E9">
        <w:rPr>
          <w:sz w:val="20"/>
        </w:rPr>
        <w:t>ational Research Council</w:t>
      </w:r>
      <w:r w:rsidR="00602F1F" w:rsidRPr="000535ED">
        <w:rPr>
          <w:sz w:val="20"/>
        </w:rPr>
        <w:t>, 1999</w:t>
      </w:r>
      <w:r w:rsidR="005D17E9">
        <w:rPr>
          <w:sz w:val="20"/>
        </w:rPr>
        <w:t xml:space="preserve">, 2012; </w:t>
      </w:r>
      <w:r w:rsidR="00602F1F" w:rsidRPr="000535ED">
        <w:rPr>
          <w:sz w:val="20"/>
        </w:rPr>
        <w:t xml:space="preserve">Rowlett, </w:t>
      </w:r>
      <w:proofErr w:type="spellStart"/>
      <w:r w:rsidR="00602F1F" w:rsidRPr="000535ED">
        <w:rPr>
          <w:sz w:val="20"/>
        </w:rPr>
        <w:t>Blockus</w:t>
      </w:r>
      <w:proofErr w:type="spellEnd"/>
      <w:r w:rsidR="00602F1F" w:rsidRPr="000535ED">
        <w:rPr>
          <w:sz w:val="20"/>
        </w:rPr>
        <w:t xml:space="preserve">, &amp; Larson, 2012).  </w:t>
      </w:r>
    </w:p>
    <w:p w:rsidR="00BE7C7C" w:rsidRDefault="00082D13" w:rsidP="00BE7C7C">
      <w:pPr>
        <w:rPr>
          <w:sz w:val="20"/>
        </w:rPr>
      </w:pPr>
      <w:r>
        <w:rPr>
          <w:sz w:val="20"/>
        </w:rPr>
        <w:t>S</w:t>
      </w:r>
      <w:r w:rsidR="00BE7C7C">
        <w:rPr>
          <w:sz w:val="20"/>
        </w:rPr>
        <w:t>cience teaching in higher education is at a revolutionary juncture, with calls to “rethink what we teach” (AAAS, 2010</w:t>
      </w:r>
      <w:r w:rsidR="00BE7C7C" w:rsidRPr="00BE7C7C">
        <w:rPr>
          <w:sz w:val="20"/>
        </w:rPr>
        <w:t>).</w:t>
      </w:r>
      <w:r w:rsidR="00BE7C7C">
        <w:rPr>
          <w:sz w:val="20"/>
        </w:rPr>
        <w:t xml:space="preserve">  </w:t>
      </w:r>
      <w:r w:rsidR="005D17E9">
        <w:rPr>
          <w:sz w:val="20"/>
        </w:rPr>
        <w:t xml:space="preserve">Because </w:t>
      </w:r>
      <w:r w:rsidR="009722A8">
        <w:rPr>
          <w:sz w:val="20"/>
        </w:rPr>
        <w:t>Smith</w:t>
      </w:r>
      <w:r w:rsidR="00BE7C7C">
        <w:rPr>
          <w:sz w:val="20"/>
        </w:rPr>
        <w:t xml:space="preserve"> College’s dedication to “</w:t>
      </w:r>
      <w:r w:rsidR="00BE7C7C" w:rsidRPr="00C12B29">
        <w:rPr>
          <w:sz w:val="20"/>
        </w:rPr>
        <w:t xml:space="preserve">learning, teaching, scholarship, discovery, </w:t>
      </w:r>
      <w:r w:rsidR="005D17E9">
        <w:rPr>
          <w:sz w:val="20"/>
        </w:rPr>
        <w:t xml:space="preserve">creativity and critical thought” intersects with strong </w:t>
      </w:r>
      <w:r w:rsidR="00BE7C7C">
        <w:rPr>
          <w:sz w:val="20"/>
        </w:rPr>
        <w:t>science faculty interest in understand</w:t>
      </w:r>
      <w:r w:rsidR="009722A8">
        <w:rPr>
          <w:sz w:val="20"/>
        </w:rPr>
        <w:t xml:space="preserve">ing and applying best-practices </w:t>
      </w:r>
      <w:r w:rsidR="00BE7C7C">
        <w:rPr>
          <w:sz w:val="20"/>
        </w:rPr>
        <w:t xml:space="preserve">pedagogies, we believe that it is time to </w:t>
      </w:r>
      <w:r w:rsidR="009722A8">
        <w:rPr>
          <w:sz w:val="20"/>
        </w:rPr>
        <w:t>examine</w:t>
      </w:r>
      <w:r w:rsidR="00BE7C7C">
        <w:rPr>
          <w:sz w:val="20"/>
        </w:rPr>
        <w:t xml:space="preserve"> our pedagogies, curriculum, and teaching spaces in order to ensure th</w:t>
      </w:r>
      <w:r w:rsidR="009722A8">
        <w:rPr>
          <w:sz w:val="20"/>
        </w:rPr>
        <w:t>at</w:t>
      </w:r>
      <w:r w:rsidR="00BE7C7C">
        <w:rPr>
          <w:sz w:val="20"/>
        </w:rPr>
        <w:t xml:space="preserve"> we are preparing our students to adjust agilely to </w:t>
      </w:r>
      <w:r w:rsidR="009722A8">
        <w:rPr>
          <w:sz w:val="20"/>
        </w:rPr>
        <w:t xml:space="preserve">the ever-changing world </w:t>
      </w:r>
      <w:r w:rsidR="00987316">
        <w:rPr>
          <w:sz w:val="20"/>
        </w:rPr>
        <w:t>during and beyond their time at Smith</w:t>
      </w:r>
      <w:r w:rsidR="00BE7C7C">
        <w:rPr>
          <w:sz w:val="20"/>
        </w:rPr>
        <w:t xml:space="preserve">.  </w:t>
      </w:r>
      <w:r w:rsidR="005D2D27">
        <w:rPr>
          <w:sz w:val="20"/>
        </w:rPr>
        <w:t xml:space="preserve">The </w:t>
      </w:r>
      <w:proofErr w:type="spellStart"/>
      <w:r w:rsidR="005D2D27">
        <w:rPr>
          <w:sz w:val="20"/>
        </w:rPr>
        <w:t>Sherrerd</w:t>
      </w:r>
      <w:proofErr w:type="spellEnd"/>
      <w:r w:rsidR="005D2D27">
        <w:rPr>
          <w:sz w:val="20"/>
        </w:rPr>
        <w:t xml:space="preserve"> Center for Teaching and Learning brings together educators across the College to develop community around fundamental questions related to pedagogy and learning.  </w:t>
      </w:r>
      <w:r w:rsidR="005D17E9">
        <w:rPr>
          <w:sz w:val="20"/>
        </w:rPr>
        <w:t xml:space="preserve">Pedagogical innovations </w:t>
      </w:r>
      <w:r w:rsidR="00BE7C7C">
        <w:rPr>
          <w:sz w:val="20"/>
        </w:rPr>
        <w:t xml:space="preserve">in the sciences </w:t>
      </w:r>
      <w:r w:rsidR="005D17E9">
        <w:rPr>
          <w:sz w:val="20"/>
        </w:rPr>
        <w:t xml:space="preserve">include </w:t>
      </w:r>
      <w:r w:rsidR="00BE7C7C">
        <w:rPr>
          <w:sz w:val="20"/>
        </w:rPr>
        <w:t xml:space="preserve">HHMI-funded course-based research experiences, </w:t>
      </w:r>
      <w:r w:rsidR="005D17E9">
        <w:rPr>
          <w:sz w:val="20"/>
        </w:rPr>
        <w:t xml:space="preserve">PKAL/TIDES-supported </w:t>
      </w:r>
      <w:r w:rsidR="00BE7C7C">
        <w:rPr>
          <w:sz w:val="20"/>
        </w:rPr>
        <w:t xml:space="preserve">curricular </w:t>
      </w:r>
      <w:r w:rsidR="005D17E9">
        <w:rPr>
          <w:sz w:val="20"/>
        </w:rPr>
        <w:t>development in computer science</w:t>
      </w:r>
      <w:r w:rsidR="00BE7C7C">
        <w:rPr>
          <w:sz w:val="20"/>
        </w:rPr>
        <w:t>, Davis Educational Foundation</w:t>
      </w:r>
      <w:r w:rsidR="005D17E9">
        <w:rPr>
          <w:sz w:val="20"/>
        </w:rPr>
        <w:t>-funded</w:t>
      </w:r>
      <w:r w:rsidR="00BE7C7C">
        <w:rPr>
          <w:sz w:val="20"/>
        </w:rPr>
        <w:t xml:space="preserve"> faculty development </w:t>
      </w:r>
      <w:r w:rsidR="005D17E9">
        <w:rPr>
          <w:sz w:val="20"/>
        </w:rPr>
        <w:t>seminars on knowledge building</w:t>
      </w:r>
      <w:r w:rsidR="00BE7C7C">
        <w:rPr>
          <w:sz w:val="20"/>
        </w:rPr>
        <w:t xml:space="preserve">, as well as lively curricular conversations within departments and programs.  </w:t>
      </w:r>
      <w:r w:rsidR="009722A8">
        <w:rPr>
          <w:sz w:val="20"/>
        </w:rPr>
        <w:t xml:space="preserve">We </w:t>
      </w:r>
      <w:r w:rsidR="00B260D8">
        <w:rPr>
          <w:sz w:val="20"/>
        </w:rPr>
        <w:t xml:space="preserve">can </w:t>
      </w:r>
      <w:r w:rsidR="00931E24">
        <w:rPr>
          <w:sz w:val="20"/>
        </w:rPr>
        <w:t xml:space="preserve">further this work </w:t>
      </w:r>
      <w:r w:rsidR="009722A8">
        <w:rPr>
          <w:sz w:val="20"/>
        </w:rPr>
        <w:t xml:space="preserve">by embracing best-practices pedagogies grounded in the principles of the learning sciences and informed by sophisticated disciplinary expertise (AAAS, 2010; NRC, 1999; NRC, 2012).  </w:t>
      </w:r>
      <w:r w:rsidR="00BE7C7C">
        <w:rPr>
          <w:sz w:val="20"/>
        </w:rPr>
        <w:t>In the future, we imagine further faculty collaboration and opportunities for support as we wo</w:t>
      </w:r>
      <w:r w:rsidR="005D17E9">
        <w:rPr>
          <w:sz w:val="20"/>
        </w:rPr>
        <w:t xml:space="preserve">rk together within </w:t>
      </w:r>
      <w:r w:rsidR="00BE7C7C">
        <w:rPr>
          <w:sz w:val="20"/>
        </w:rPr>
        <w:t>units to articulate, assess, and teach the essential concepts and capacities of a</w:t>
      </w:r>
      <w:r>
        <w:rPr>
          <w:sz w:val="20"/>
        </w:rPr>
        <w:t xml:space="preserve"> field.  W</w:t>
      </w:r>
      <w:r w:rsidR="00BE7C7C">
        <w:rPr>
          <w:sz w:val="20"/>
        </w:rPr>
        <w:t xml:space="preserve">e also imagine </w:t>
      </w:r>
      <w:r w:rsidR="00B260D8">
        <w:rPr>
          <w:sz w:val="20"/>
        </w:rPr>
        <w:t xml:space="preserve">flexible </w:t>
      </w:r>
      <w:r w:rsidR="00BE7C7C">
        <w:rPr>
          <w:sz w:val="20"/>
        </w:rPr>
        <w:t xml:space="preserve">learning spaces in which educators work to identify the understandings and experience students bring to their classes and use formative assessments to make student thinking visible, </w:t>
      </w:r>
      <w:r w:rsidR="007C04B9">
        <w:rPr>
          <w:sz w:val="20"/>
        </w:rPr>
        <w:t xml:space="preserve">allowing them ample opportunity </w:t>
      </w:r>
      <w:r w:rsidR="00BE7C7C">
        <w:rPr>
          <w:sz w:val="20"/>
        </w:rPr>
        <w:t>to improve their ideas.</w:t>
      </w:r>
    </w:p>
    <w:p w:rsidR="0032208F" w:rsidRDefault="009722A8" w:rsidP="0032208F">
      <w:pPr>
        <w:rPr>
          <w:sz w:val="20"/>
        </w:rPr>
      </w:pPr>
      <w:r>
        <w:rPr>
          <w:sz w:val="20"/>
        </w:rPr>
        <w:t>There is one area of high-impact educational practice in</w:t>
      </w:r>
      <w:r w:rsidR="00754C4F">
        <w:rPr>
          <w:sz w:val="20"/>
        </w:rPr>
        <w:t xml:space="preserve"> which the sciences at Smith have</w:t>
      </w:r>
      <w:r>
        <w:rPr>
          <w:sz w:val="20"/>
        </w:rPr>
        <w:t xml:space="preserve"> considerable expertise</w:t>
      </w:r>
      <w:r w:rsidR="00E6670B">
        <w:rPr>
          <w:sz w:val="20"/>
        </w:rPr>
        <w:t>:</w:t>
      </w:r>
      <w:r>
        <w:rPr>
          <w:sz w:val="20"/>
        </w:rPr>
        <w:t xml:space="preserve"> </w:t>
      </w:r>
      <w:r w:rsidR="0032208F" w:rsidRPr="0032208F">
        <w:rPr>
          <w:sz w:val="20"/>
        </w:rPr>
        <w:t>research experiences</w:t>
      </w:r>
      <w:r w:rsidR="00F0741D">
        <w:rPr>
          <w:sz w:val="20"/>
        </w:rPr>
        <w:t xml:space="preserve"> and</w:t>
      </w:r>
      <w:r w:rsidR="0032208F" w:rsidRPr="0032208F">
        <w:rPr>
          <w:sz w:val="20"/>
        </w:rPr>
        <w:t xml:space="preserve"> collaborative proj</w:t>
      </w:r>
      <w:r w:rsidR="00F0741D">
        <w:rPr>
          <w:sz w:val="20"/>
        </w:rPr>
        <w:t>ects</w:t>
      </w:r>
      <w:r>
        <w:rPr>
          <w:sz w:val="20"/>
        </w:rPr>
        <w:t xml:space="preserve"> that </w:t>
      </w:r>
      <w:r w:rsidR="00F0741D">
        <w:rPr>
          <w:sz w:val="20"/>
        </w:rPr>
        <w:t>reliably occur in research labs</w:t>
      </w:r>
      <w:r>
        <w:rPr>
          <w:sz w:val="20"/>
        </w:rPr>
        <w:t xml:space="preserve"> </w:t>
      </w:r>
      <w:r w:rsidR="00B22A6D">
        <w:rPr>
          <w:sz w:val="20"/>
        </w:rPr>
        <w:t xml:space="preserve">as well as the Science Center’s five multidisciplinary research centers </w:t>
      </w:r>
      <w:r>
        <w:rPr>
          <w:sz w:val="20"/>
        </w:rPr>
        <w:t xml:space="preserve">and </w:t>
      </w:r>
      <w:r w:rsidR="0032208F" w:rsidRPr="0032208F">
        <w:rPr>
          <w:sz w:val="20"/>
        </w:rPr>
        <w:t>demand the applied and integrative learning that deepens student engagement and learning</w:t>
      </w:r>
      <w:r w:rsidR="00F0741D">
        <w:rPr>
          <w:sz w:val="20"/>
        </w:rPr>
        <w:t xml:space="preserve"> (AAC</w:t>
      </w:r>
      <w:r w:rsidR="005D17E9">
        <w:rPr>
          <w:sz w:val="20"/>
        </w:rPr>
        <w:t>&amp;</w:t>
      </w:r>
      <w:r w:rsidR="00F0741D">
        <w:rPr>
          <w:sz w:val="20"/>
        </w:rPr>
        <w:t>U, 2011)</w:t>
      </w:r>
      <w:r w:rsidR="0032208F" w:rsidRPr="0032208F">
        <w:rPr>
          <w:sz w:val="20"/>
        </w:rPr>
        <w:t>.  The sciences at Smith have a strong history of providing meaningf</w:t>
      </w:r>
      <w:r w:rsidR="00B260D8">
        <w:rPr>
          <w:sz w:val="20"/>
        </w:rPr>
        <w:t>ul research opportunities to</w:t>
      </w:r>
      <w:r w:rsidR="0032208F" w:rsidRPr="0032208F">
        <w:rPr>
          <w:sz w:val="20"/>
        </w:rPr>
        <w:t xml:space="preserve"> students, with a thriving honors program, active</w:t>
      </w:r>
      <w:r w:rsidR="00082D13">
        <w:rPr>
          <w:sz w:val="20"/>
        </w:rPr>
        <w:t xml:space="preserve"> faculty </w:t>
      </w:r>
      <w:r w:rsidR="0032208F" w:rsidRPr="0032208F">
        <w:rPr>
          <w:sz w:val="20"/>
        </w:rPr>
        <w:t>research labs in which studen</w:t>
      </w:r>
      <w:r w:rsidR="00082D13">
        <w:rPr>
          <w:sz w:val="20"/>
        </w:rPr>
        <w:t>ts participate as collaborators</w:t>
      </w:r>
      <w:r w:rsidR="0032208F" w:rsidRPr="0032208F">
        <w:rPr>
          <w:sz w:val="20"/>
        </w:rPr>
        <w:t xml:space="preserve">, and over 50 years of a vibrant Summer Undergraduate Research Fellowship (SURF) program.  With at least one undergraduate student co-author on </w:t>
      </w:r>
      <w:r w:rsidR="00E6670B">
        <w:rPr>
          <w:sz w:val="20"/>
        </w:rPr>
        <w:t xml:space="preserve">a </w:t>
      </w:r>
      <w:r w:rsidR="0032208F" w:rsidRPr="0032208F">
        <w:rPr>
          <w:sz w:val="20"/>
        </w:rPr>
        <w:t>third of science faculty members’ peer-reviewed scholarship</w:t>
      </w:r>
      <w:r w:rsidR="00E6670B">
        <w:rPr>
          <w:sz w:val="20"/>
        </w:rPr>
        <w:t>,</w:t>
      </w:r>
      <w:r w:rsidR="0032208F" w:rsidRPr="0032208F">
        <w:rPr>
          <w:sz w:val="20"/>
        </w:rPr>
        <w:t xml:space="preserve"> and SURF participation doubling the likelihood of o</w:t>
      </w:r>
      <w:r w:rsidR="00B260D8">
        <w:rPr>
          <w:sz w:val="20"/>
        </w:rPr>
        <w:t>ur students pursuing a graduate degree</w:t>
      </w:r>
      <w:r w:rsidR="00F0741D">
        <w:rPr>
          <w:sz w:val="20"/>
        </w:rPr>
        <w:t>, we agree that ch</w:t>
      </w:r>
      <w:r w:rsidR="0032208F" w:rsidRPr="0032208F">
        <w:rPr>
          <w:sz w:val="20"/>
        </w:rPr>
        <w:t>alleng</w:t>
      </w:r>
      <w:r w:rsidR="00F0741D">
        <w:rPr>
          <w:sz w:val="20"/>
        </w:rPr>
        <w:t>ing</w:t>
      </w:r>
      <w:r w:rsidR="0032208F" w:rsidRPr="0032208F">
        <w:rPr>
          <w:sz w:val="20"/>
        </w:rPr>
        <w:t xml:space="preserve"> our students to work at the cutting edge of knowledge help</w:t>
      </w:r>
      <w:r w:rsidR="00F0741D">
        <w:rPr>
          <w:sz w:val="20"/>
        </w:rPr>
        <w:t>s</w:t>
      </w:r>
      <w:r w:rsidR="0032208F" w:rsidRPr="0032208F">
        <w:rPr>
          <w:sz w:val="20"/>
        </w:rPr>
        <w:t xml:space="preserve"> prepare them for their lives beyond Smith.  </w:t>
      </w:r>
      <w:r>
        <w:rPr>
          <w:sz w:val="20"/>
        </w:rPr>
        <w:t xml:space="preserve">Yet, </w:t>
      </w:r>
      <w:r w:rsidR="00931E24">
        <w:rPr>
          <w:sz w:val="20"/>
        </w:rPr>
        <w:t>there are ways</w:t>
      </w:r>
      <w:r w:rsidR="007C04B9">
        <w:rPr>
          <w:sz w:val="20"/>
        </w:rPr>
        <w:t xml:space="preserve"> in which we could further</w:t>
      </w:r>
      <w:r w:rsidR="00931E24">
        <w:rPr>
          <w:sz w:val="20"/>
        </w:rPr>
        <w:t xml:space="preserve"> </w:t>
      </w:r>
      <w:r>
        <w:rPr>
          <w:sz w:val="20"/>
        </w:rPr>
        <w:t>blur the distinction between our research</w:t>
      </w:r>
      <w:r w:rsidR="00931E24">
        <w:rPr>
          <w:sz w:val="20"/>
        </w:rPr>
        <w:t xml:space="preserve"> labs and classroom spaces to </w:t>
      </w:r>
      <w:r>
        <w:rPr>
          <w:sz w:val="20"/>
        </w:rPr>
        <w:t xml:space="preserve">make room </w:t>
      </w:r>
      <w:r w:rsidR="00931E24">
        <w:rPr>
          <w:sz w:val="20"/>
        </w:rPr>
        <w:t xml:space="preserve">in many of our courses </w:t>
      </w:r>
      <w:r>
        <w:rPr>
          <w:sz w:val="20"/>
        </w:rPr>
        <w:t xml:space="preserve">for authentic, messy, open-ended exploration driven </w:t>
      </w:r>
      <w:r w:rsidR="00DD1DF7">
        <w:rPr>
          <w:sz w:val="20"/>
        </w:rPr>
        <w:t>by student agency</w:t>
      </w:r>
      <w:r w:rsidR="00931E24">
        <w:rPr>
          <w:sz w:val="20"/>
        </w:rPr>
        <w:t xml:space="preserve"> and curiosity</w:t>
      </w:r>
      <w:r w:rsidR="00DD1DF7">
        <w:rPr>
          <w:sz w:val="20"/>
        </w:rPr>
        <w:t>.</w:t>
      </w:r>
      <w:r>
        <w:rPr>
          <w:sz w:val="20"/>
        </w:rPr>
        <w:t xml:space="preserve"> </w:t>
      </w:r>
      <w:r w:rsidR="0055331B">
        <w:rPr>
          <w:sz w:val="20"/>
        </w:rPr>
        <w:t>We need to maintain and build on Smith’s storied tradition of excellent scholarship to recruit and devel</w:t>
      </w:r>
      <w:r w:rsidR="007C04B9">
        <w:rPr>
          <w:sz w:val="20"/>
        </w:rPr>
        <w:t xml:space="preserve">op faculty who can conduct </w:t>
      </w:r>
      <w:r w:rsidR="0055331B">
        <w:rPr>
          <w:sz w:val="20"/>
        </w:rPr>
        <w:t>world-class research, guide curricular changes with expert perspectives on disciplinary</w:t>
      </w:r>
      <w:r w:rsidR="007C04B9">
        <w:rPr>
          <w:sz w:val="20"/>
        </w:rPr>
        <w:t xml:space="preserve"> and interdisciplinary training and </w:t>
      </w:r>
      <w:r w:rsidR="0055331B">
        <w:rPr>
          <w:sz w:val="20"/>
        </w:rPr>
        <w:t xml:space="preserve">education, and invite students into current scientific research and thought.  </w:t>
      </w:r>
      <w:r w:rsidR="007C04B9">
        <w:rPr>
          <w:sz w:val="20"/>
        </w:rPr>
        <w:t>A</w:t>
      </w:r>
      <w:r w:rsidR="00600DD8">
        <w:rPr>
          <w:sz w:val="20"/>
        </w:rPr>
        <w:t>s we consider how best to</w:t>
      </w:r>
      <w:r w:rsidR="0032208F" w:rsidRPr="0032208F">
        <w:rPr>
          <w:sz w:val="20"/>
        </w:rPr>
        <w:t xml:space="preserve"> infus</w:t>
      </w:r>
      <w:r w:rsidR="00DD1DF7">
        <w:rPr>
          <w:sz w:val="20"/>
        </w:rPr>
        <w:t xml:space="preserve">e </w:t>
      </w:r>
      <w:r w:rsidR="00600DD8">
        <w:rPr>
          <w:sz w:val="20"/>
        </w:rPr>
        <w:t xml:space="preserve">further </w:t>
      </w:r>
      <w:r w:rsidR="0032208F" w:rsidRPr="0032208F">
        <w:rPr>
          <w:sz w:val="20"/>
        </w:rPr>
        <w:t>research experien</w:t>
      </w:r>
      <w:r w:rsidR="007C04B9">
        <w:rPr>
          <w:sz w:val="20"/>
        </w:rPr>
        <w:t>ces into our science curriculum, we are inspired by opportunities like these provided by our HHMI-</w:t>
      </w:r>
      <w:r w:rsidR="007C04B9" w:rsidRPr="007C04B9">
        <w:rPr>
          <w:sz w:val="20"/>
        </w:rPr>
        <w:t xml:space="preserve"> </w:t>
      </w:r>
      <w:r w:rsidR="007C04B9" w:rsidRPr="0032208F">
        <w:rPr>
          <w:sz w:val="20"/>
        </w:rPr>
        <w:t>funded cou</w:t>
      </w:r>
      <w:r w:rsidR="007C04B9">
        <w:rPr>
          <w:sz w:val="20"/>
        </w:rPr>
        <w:t>rse-based research experiences</w:t>
      </w:r>
      <w:r w:rsidR="0032208F" w:rsidRPr="0032208F">
        <w:rPr>
          <w:sz w:val="20"/>
        </w:rPr>
        <w:t xml:space="preserve">.    </w:t>
      </w:r>
    </w:p>
    <w:p w:rsidR="00A03707" w:rsidRPr="00E402BE" w:rsidRDefault="00E402BE" w:rsidP="00FE165B">
      <w:pPr>
        <w:rPr>
          <w:color w:val="542344"/>
          <w:sz w:val="20"/>
        </w:rPr>
      </w:pPr>
      <w:r>
        <w:rPr>
          <w:color w:val="542344"/>
          <w:sz w:val="20"/>
        </w:rPr>
        <w:t>Guiding Principle</w:t>
      </w:r>
      <w:r w:rsidRPr="007E74D3">
        <w:rPr>
          <w:color w:val="542344"/>
          <w:sz w:val="20"/>
        </w:rPr>
        <w:t xml:space="preserve"> </w:t>
      </w:r>
      <w:r w:rsidR="008C7BC4" w:rsidRPr="009818AF">
        <w:rPr>
          <w:color w:val="0070C0"/>
          <w:sz w:val="20"/>
        </w:rPr>
        <w:t xml:space="preserve">  </w:t>
      </w:r>
    </w:p>
    <w:p w:rsidR="00FE165B" w:rsidRDefault="00E402BE" w:rsidP="00FE165B">
      <w:pPr>
        <w:rPr>
          <w:sz w:val="20"/>
        </w:rPr>
      </w:pPr>
      <w:r>
        <w:rPr>
          <w:sz w:val="20"/>
        </w:rPr>
        <w:t>B</w:t>
      </w:r>
      <w:r w:rsidR="00A8289D">
        <w:rPr>
          <w:sz w:val="20"/>
        </w:rPr>
        <w:t xml:space="preserve">est-practices pedagogies and faculty-student research collaborations will result in optimal learning and future success for our students.  </w:t>
      </w:r>
    </w:p>
    <w:p w:rsidR="009E00EE" w:rsidRDefault="009E00EE">
      <w:pPr>
        <w:rPr>
          <w:sz w:val="20"/>
        </w:rPr>
      </w:pPr>
      <w:r>
        <w:rPr>
          <w:sz w:val="20"/>
        </w:rPr>
        <w:br w:type="page"/>
      </w:r>
    </w:p>
    <w:p w:rsidR="00E402BE" w:rsidRPr="005938F5" w:rsidRDefault="00D526DD" w:rsidP="00E402BE">
      <w:pPr>
        <w:pStyle w:val="Heading1"/>
        <w:rPr>
          <w:b/>
          <w:color w:val="E7E6E6" w:themeColor="background2"/>
          <w:sz w:val="36"/>
        </w:rPr>
      </w:pPr>
      <w:r>
        <w:rPr>
          <w:noProof/>
          <w:lang w:eastAsia="en-US"/>
        </w:rPr>
        <w:drawing>
          <wp:inline distT="0" distB="0" distL="0" distR="0" wp14:anchorId="5C47DDCB" wp14:editId="4C149AF3">
            <wp:extent cx="715618" cy="645854"/>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oking through microscope BW 1.jpg"/>
                    <pic:cNvPicPr/>
                  </pic:nvPicPr>
                  <pic:blipFill>
                    <a:blip r:embed="rId16" cstate="print">
                      <a:extLst>
                        <a:ext uri="{28A0092B-C50C-407E-A947-70E740481C1C}">
                          <a14:useLocalDpi xmlns:a14="http://schemas.microsoft.com/office/drawing/2010/main" val="0"/>
                        </a:ext>
                      </a:extLst>
                    </a:blip>
                    <a:stretch>
                      <a:fillRect/>
                    </a:stretch>
                  </pic:blipFill>
                  <pic:spPr>
                    <a:xfrm rot="10800000" flipH="1" flipV="1">
                      <a:off x="0" y="0"/>
                      <a:ext cx="792194" cy="714965"/>
                    </a:xfrm>
                    <a:prstGeom prst="rect">
                      <a:avLst/>
                    </a:prstGeom>
                  </pic:spPr>
                </pic:pic>
              </a:graphicData>
            </a:graphic>
          </wp:inline>
        </w:drawing>
      </w:r>
      <w:r w:rsidR="00E402BE">
        <w:t xml:space="preserve">  </w:t>
      </w:r>
      <w:r w:rsidR="00E402BE" w:rsidRPr="00E402BE">
        <w:rPr>
          <w:b/>
          <w:color w:val="70AD47" w:themeColor="accent6"/>
          <w:sz w:val="36"/>
        </w:rPr>
        <w:t>Strategic Direction IV: Fortifying Agency &amp; Identity</w:t>
      </w:r>
    </w:p>
    <w:p w:rsidR="00E402BE" w:rsidRPr="005938F5" w:rsidRDefault="00E402BE" w:rsidP="00E402BE">
      <w:pPr>
        <w:rPr>
          <w:i/>
          <w:color w:val="CEDE91"/>
          <w:sz w:val="24"/>
        </w:rPr>
      </w:pPr>
      <w:r w:rsidRPr="005938F5">
        <w:rPr>
          <w:noProof/>
          <w:color w:val="CEDE91"/>
          <w:lang w:eastAsia="en-US"/>
        </w:rPr>
        <mc:AlternateContent>
          <mc:Choice Requires="wps">
            <w:drawing>
              <wp:anchor distT="0" distB="0" distL="114300" distR="114300" simplePos="0" relativeHeight="251696128" behindDoc="0" locked="0" layoutInCell="1" allowOverlap="1" wp14:anchorId="24EE3348" wp14:editId="6132175D">
                <wp:simplePos x="0" y="0"/>
                <wp:positionH relativeFrom="margin">
                  <wp:align>right</wp:align>
                </wp:positionH>
                <wp:positionV relativeFrom="paragraph">
                  <wp:posOffset>8889</wp:posOffset>
                </wp:positionV>
                <wp:extent cx="63722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6372225" cy="9525"/>
                        </a:xfrm>
                        <a:prstGeom prst="line">
                          <a:avLst/>
                        </a:prstGeom>
                        <a:ln w="19050">
                          <a:solidFill>
                            <a:srgbClr val="CEDE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3F2A6" id="Straight Connector 14" o:spid="_x0000_s1026" style="position:absolute;flip:y;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7pt" to="95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" strokecolor="#cede91" strokeweight="1.5pt">
                <v:stroke endcap="round"/>
                <w10:wrap anchorx="margin"/>
              </v:line>
            </w:pict>
          </mc:Fallback>
        </mc:AlternateContent>
      </w:r>
    </w:p>
    <w:p w:rsidR="00E402BE" w:rsidRPr="00E402BE" w:rsidRDefault="00E402BE" w:rsidP="00E402BE">
      <w:pPr>
        <w:spacing w:before="400" w:after="40" w:line="240" w:lineRule="auto"/>
        <w:ind w:left="720" w:right="1440"/>
        <w:jc w:val="both"/>
        <w:rPr>
          <w:i/>
          <w:color w:val="538135" w:themeColor="accent6" w:themeShade="BF"/>
          <w:sz w:val="24"/>
        </w:rPr>
      </w:pPr>
      <w:r w:rsidRPr="00E402BE">
        <w:rPr>
          <w:i/>
          <w:color w:val="538135" w:themeColor="accent6" w:themeShade="BF"/>
          <w:sz w:val="24"/>
        </w:rPr>
        <w:t>The sciences at Smith will cultivate students’ agency, confidence, and resourcefulness in learning while fostering their sense of identity as scientists.</w:t>
      </w:r>
    </w:p>
    <w:p w:rsidR="00E402BE" w:rsidRDefault="00E402BE" w:rsidP="00E402BE">
      <w:pPr>
        <w:rPr>
          <w:color w:val="767171" w:themeColor="background2" w:themeShade="80"/>
          <w:sz w:val="20"/>
        </w:rPr>
      </w:pPr>
    </w:p>
    <w:p w:rsidR="009E67F7" w:rsidRDefault="00931E24" w:rsidP="00EB4BFB">
      <w:pPr>
        <w:rPr>
          <w:sz w:val="20"/>
        </w:rPr>
      </w:pPr>
      <w:r>
        <w:rPr>
          <w:sz w:val="20"/>
        </w:rPr>
        <w:t>In</w:t>
      </w:r>
      <w:r w:rsidR="00451FAE">
        <w:rPr>
          <w:sz w:val="20"/>
        </w:rPr>
        <w:t xml:space="preserve"> recent years, theories of teaching an</w:t>
      </w:r>
      <w:r w:rsidR="00CC31BA">
        <w:rPr>
          <w:sz w:val="20"/>
        </w:rPr>
        <w:t>d learning have given increased</w:t>
      </w:r>
      <w:r w:rsidR="00451FAE">
        <w:rPr>
          <w:sz w:val="20"/>
        </w:rPr>
        <w:t xml:space="preserve"> attention to the ways in which students’ </w:t>
      </w:r>
      <w:r w:rsidR="00EB4BFB">
        <w:rPr>
          <w:sz w:val="20"/>
        </w:rPr>
        <w:t xml:space="preserve">academic </w:t>
      </w:r>
      <w:r w:rsidR="00451FAE">
        <w:rPr>
          <w:sz w:val="20"/>
        </w:rPr>
        <w:t xml:space="preserve">performance and persistence are </w:t>
      </w:r>
      <w:r w:rsidR="00EB4BFB">
        <w:rPr>
          <w:sz w:val="20"/>
        </w:rPr>
        <w:t xml:space="preserve">intimately tied to issues of identity, expectation, and </w:t>
      </w:r>
      <w:r w:rsidR="00082D13">
        <w:rPr>
          <w:sz w:val="20"/>
        </w:rPr>
        <w:t xml:space="preserve">naïve </w:t>
      </w:r>
      <w:r w:rsidR="00EB4BFB">
        <w:rPr>
          <w:sz w:val="20"/>
        </w:rPr>
        <w:t>theorie</w:t>
      </w:r>
      <w:r w:rsidR="007C04B9">
        <w:rPr>
          <w:sz w:val="20"/>
        </w:rPr>
        <w:t>s about intellect and expertise</w:t>
      </w:r>
      <w:r w:rsidR="00DC5CD4">
        <w:rPr>
          <w:sz w:val="20"/>
        </w:rPr>
        <w:t>, all of which are strongly influenced by social and environmental cues</w:t>
      </w:r>
      <w:r w:rsidR="007C04B9">
        <w:rPr>
          <w:sz w:val="20"/>
        </w:rPr>
        <w:t xml:space="preserve">. </w:t>
      </w:r>
      <w:r w:rsidR="00EB4BFB">
        <w:rPr>
          <w:sz w:val="20"/>
        </w:rPr>
        <w:t xml:space="preserve">Attention to </w:t>
      </w:r>
      <w:r w:rsidR="00DC5CD4">
        <w:rPr>
          <w:sz w:val="20"/>
        </w:rPr>
        <w:t xml:space="preserve">these </w:t>
      </w:r>
      <w:r w:rsidR="00EB4BFB">
        <w:rPr>
          <w:sz w:val="20"/>
        </w:rPr>
        <w:t xml:space="preserve">factors is exponentially important when negative stereotypes about student learning exist, such as </w:t>
      </w:r>
      <w:r w:rsidR="00AF1A98">
        <w:rPr>
          <w:sz w:val="20"/>
        </w:rPr>
        <w:t xml:space="preserve">for </w:t>
      </w:r>
      <w:r w:rsidR="00EB4BFB">
        <w:rPr>
          <w:sz w:val="20"/>
        </w:rPr>
        <w:t>women in STEM fields</w:t>
      </w:r>
      <w:r>
        <w:rPr>
          <w:sz w:val="20"/>
        </w:rPr>
        <w:t xml:space="preserve"> (Hill et al., 2010)</w:t>
      </w:r>
      <w:r w:rsidR="00EB4BFB">
        <w:rPr>
          <w:sz w:val="20"/>
        </w:rPr>
        <w:t xml:space="preserve">.  </w:t>
      </w:r>
    </w:p>
    <w:p w:rsidR="00AF1A98" w:rsidRDefault="00EB4BFB" w:rsidP="00EB4BFB">
      <w:pPr>
        <w:rPr>
          <w:sz w:val="20"/>
        </w:rPr>
      </w:pPr>
      <w:r>
        <w:rPr>
          <w:sz w:val="20"/>
        </w:rPr>
        <w:t xml:space="preserve">Teaching women in science explicitly about stereotype threat </w:t>
      </w:r>
      <w:r w:rsidR="00631350">
        <w:rPr>
          <w:sz w:val="20"/>
        </w:rPr>
        <w:t>(Steele, 2010</w:t>
      </w:r>
      <w:r w:rsidR="00AF1A98">
        <w:rPr>
          <w:sz w:val="20"/>
        </w:rPr>
        <w:t xml:space="preserve">) </w:t>
      </w:r>
      <w:r>
        <w:rPr>
          <w:sz w:val="20"/>
        </w:rPr>
        <w:t xml:space="preserve">and the importance of a “growth mindset” </w:t>
      </w:r>
      <w:r w:rsidR="00AF1A98">
        <w:rPr>
          <w:sz w:val="20"/>
        </w:rPr>
        <w:t>(</w:t>
      </w:r>
      <w:proofErr w:type="spellStart"/>
      <w:r w:rsidR="00AF1A98">
        <w:rPr>
          <w:sz w:val="20"/>
        </w:rPr>
        <w:t>Dweck</w:t>
      </w:r>
      <w:proofErr w:type="spellEnd"/>
      <w:r w:rsidR="00631350">
        <w:rPr>
          <w:sz w:val="20"/>
        </w:rPr>
        <w:t>, 2006</w:t>
      </w:r>
      <w:r w:rsidR="00AF1A98">
        <w:rPr>
          <w:sz w:val="20"/>
        </w:rPr>
        <w:t xml:space="preserve">) </w:t>
      </w:r>
      <w:r>
        <w:rPr>
          <w:sz w:val="20"/>
        </w:rPr>
        <w:t>c</w:t>
      </w:r>
      <w:r w:rsidR="00931E24">
        <w:rPr>
          <w:sz w:val="20"/>
        </w:rPr>
        <w:t>an help to inoculate against</w:t>
      </w:r>
      <w:r>
        <w:rPr>
          <w:sz w:val="20"/>
        </w:rPr>
        <w:t xml:space="preserve"> implicit bias </w:t>
      </w:r>
      <w:r w:rsidR="00AF1A98">
        <w:rPr>
          <w:sz w:val="20"/>
        </w:rPr>
        <w:t xml:space="preserve">as well as any discrimination or stereotyping </w:t>
      </w:r>
      <w:r w:rsidR="00547157">
        <w:rPr>
          <w:sz w:val="20"/>
        </w:rPr>
        <w:t xml:space="preserve">that </w:t>
      </w:r>
      <w:r w:rsidR="007C38BC">
        <w:rPr>
          <w:sz w:val="20"/>
        </w:rPr>
        <w:t>they</w:t>
      </w:r>
      <w:r w:rsidR="005D5177">
        <w:rPr>
          <w:sz w:val="20"/>
        </w:rPr>
        <w:t xml:space="preserve"> might</w:t>
      </w:r>
      <w:r w:rsidR="007C38BC">
        <w:rPr>
          <w:sz w:val="20"/>
        </w:rPr>
        <w:t xml:space="preserve"> encou</w:t>
      </w:r>
      <w:r w:rsidR="00C45190">
        <w:rPr>
          <w:sz w:val="20"/>
        </w:rPr>
        <w:t>nter</w:t>
      </w:r>
      <w:r w:rsidR="007C38BC">
        <w:rPr>
          <w:sz w:val="20"/>
        </w:rPr>
        <w:t xml:space="preserve"> while pursuing their </w:t>
      </w:r>
      <w:r w:rsidR="00C45190">
        <w:rPr>
          <w:sz w:val="20"/>
        </w:rPr>
        <w:t xml:space="preserve">interests </w:t>
      </w:r>
      <w:r w:rsidR="007C38BC">
        <w:rPr>
          <w:sz w:val="20"/>
        </w:rPr>
        <w:t>in STEM</w:t>
      </w:r>
      <w:r w:rsidR="00C45190">
        <w:rPr>
          <w:sz w:val="20"/>
        </w:rPr>
        <w:t xml:space="preserve"> fields</w:t>
      </w:r>
      <w:r w:rsidR="00631350">
        <w:rPr>
          <w:sz w:val="20"/>
        </w:rPr>
        <w:t xml:space="preserve"> (</w:t>
      </w:r>
      <w:proofErr w:type="spellStart"/>
      <w:r w:rsidR="00631350">
        <w:rPr>
          <w:sz w:val="20"/>
        </w:rPr>
        <w:t>Valian</w:t>
      </w:r>
      <w:proofErr w:type="spellEnd"/>
      <w:r w:rsidR="00631350">
        <w:rPr>
          <w:sz w:val="20"/>
        </w:rPr>
        <w:t>, 1998)</w:t>
      </w:r>
      <w:r w:rsidR="00C71172">
        <w:rPr>
          <w:sz w:val="20"/>
        </w:rPr>
        <w:t xml:space="preserve"> in the larger world</w:t>
      </w:r>
      <w:r w:rsidR="00547157">
        <w:rPr>
          <w:sz w:val="20"/>
        </w:rPr>
        <w:t>.</w:t>
      </w:r>
      <w:r w:rsidR="007C04B9">
        <w:rPr>
          <w:sz w:val="20"/>
        </w:rPr>
        <w:t xml:space="preserve"> In addition, exposure to and interaction with role models of similar background can also promote women’s persistence in the science pipeline (</w:t>
      </w:r>
      <w:proofErr w:type="spellStart"/>
      <w:r w:rsidR="007C04B9">
        <w:rPr>
          <w:sz w:val="20"/>
        </w:rPr>
        <w:t>Bettinger</w:t>
      </w:r>
      <w:proofErr w:type="spellEnd"/>
      <w:r w:rsidR="007C04B9">
        <w:rPr>
          <w:sz w:val="20"/>
        </w:rPr>
        <w:t xml:space="preserve"> &amp; Long, 2005) and solidify their identity as scientists. These kinds of mentoring relationships can also provide the kind of material advice and support that helps students to navigate beyond obstacles and discouragement.  </w:t>
      </w:r>
      <w:r w:rsidR="00334638">
        <w:rPr>
          <w:sz w:val="20"/>
        </w:rPr>
        <w:t xml:space="preserve">Furthermore, effective </w:t>
      </w:r>
      <w:r w:rsidR="00C45190">
        <w:rPr>
          <w:sz w:val="20"/>
        </w:rPr>
        <w:t xml:space="preserve">educational </w:t>
      </w:r>
      <w:r w:rsidR="00334638">
        <w:rPr>
          <w:sz w:val="20"/>
        </w:rPr>
        <w:t>environment</w:t>
      </w:r>
      <w:r w:rsidR="00FA0B4E">
        <w:rPr>
          <w:sz w:val="20"/>
        </w:rPr>
        <w:t>s</w:t>
      </w:r>
      <w:r w:rsidR="00334638">
        <w:rPr>
          <w:sz w:val="20"/>
        </w:rPr>
        <w:t xml:space="preserve"> </w:t>
      </w:r>
      <w:r w:rsidR="00FA0B4E">
        <w:rPr>
          <w:sz w:val="20"/>
        </w:rPr>
        <w:t>d</w:t>
      </w:r>
      <w:r w:rsidR="00334638">
        <w:rPr>
          <w:sz w:val="20"/>
        </w:rPr>
        <w:t>evelop students’ skills in directing their own learning and assessing their progress in pursuit of a learning goal b</w:t>
      </w:r>
      <w:r w:rsidR="00FA0B4E">
        <w:rPr>
          <w:sz w:val="20"/>
        </w:rPr>
        <w:t xml:space="preserve">y fostering </w:t>
      </w:r>
      <w:r w:rsidR="004E2182">
        <w:rPr>
          <w:sz w:val="20"/>
        </w:rPr>
        <w:t xml:space="preserve">student </w:t>
      </w:r>
      <w:r w:rsidR="00FA0B4E">
        <w:rPr>
          <w:sz w:val="20"/>
        </w:rPr>
        <w:t>metacognition</w:t>
      </w:r>
      <w:r w:rsidR="00334638">
        <w:rPr>
          <w:sz w:val="20"/>
        </w:rPr>
        <w:t>.</w:t>
      </w:r>
      <w:r w:rsidR="00FA0B4E">
        <w:rPr>
          <w:sz w:val="20"/>
        </w:rPr>
        <w:t xml:space="preserve">  </w:t>
      </w:r>
      <w:r w:rsidR="00931E24">
        <w:rPr>
          <w:sz w:val="20"/>
        </w:rPr>
        <w:t>These metacognitive s</w:t>
      </w:r>
      <w:r w:rsidR="00FA0B4E">
        <w:rPr>
          <w:sz w:val="20"/>
        </w:rPr>
        <w:t>kills vary across subject areas and can only be developed in relation to discipline-based expertise.</w:t>
      </w:r>
      <w:r w:rsidR="009E67F7">
        <w:rPr>
          <w:sz w:val="20"/>
        </w:rPr>
        <w:t xml:space="preserve">  </w:t>
      </w:r>
    </w:p>
    <w:p w:rsidR="009E67F7" w:rsidRDefault="007C04B9" w:rsidP="00FE165B">
      <w:pPr>
        <w:rPr>
          <w:sz w:val="20"/>
        </w:rPr>
      </w:pPr>
      <w:r>
        <w:rPr>
          <w:sz w:val="20"/>
        </w:rPr>
        <w:t xml:space="preserve">Because </w:t>
      </w:r>
      <w:r w:rsidR="009E67F7">
        <w:rPr>
          <w:sz w:val="20"/>
        </w:rPr>
        <w:t>the College</w:t>
      </w:r>
      <w:r>
        <w:rPr>
          <w:sz w:val="20"/>
        </w:rPr>
        <w:t xml:space="preserve"> is committed to </w:t>
      </w:r>
      <w:r w:rsidR="007166B3">
        <w:rPr>
          <w:sz w:val="20"/>
        </w:rPr>
        <w:t>“preparing women for rewarding lives” a</w:t>
      </w:r>
      <w:r>
        <w:rPr>
          <w:sz w:val="20"/>
        </w:rPr>
        <w:t xml:space="preserve">nd the sciences have </w:t>
      </w:r>
      <w:r w:rsidR="007166B3">
        <w:rPr>
          <w:sz w:val="20"/>
        </w:rPr>
        <w:t xml:space="preserve">planned </w:t>
      </w:r>
      <w:r>
        <w:rPr>
          <w:sz w:val="20"/>
        </w:rPr>
        <w:t>a</w:t>
      </w:r>
      <w:r w:rsidR="007166B3">
        <w:rPr>
          <w:sz w:val="20"/>
        </w:rPr>
        <w:t xml:space="preserve"> </w:t>
      </w:r>
      <w:r w:rsidR="007166B3">
        <w:rPr>
          <w:i/>
          <w:sz w:val="20"/>
        </w:rPr>
        <w:t xml:space="preserve">She is a Scientist </w:t>
      </w:r>
      <w:r w:rsidR="007166B3">
        <w:rPr>
          <w:sz w:val="20"/>
        </w:rPr>
        <w:t xml:space="preserve">lecture series, </w:t>
      </w:r>
      <w:r w:rsidR="00931E24">
        <w:rPr>
          <w:sz w:val="20"/>
        </w:rPr>
        <w:t xml:space="preserve">jointly </w:t>
      </w:r>
      <w:r w:rsidR="007166B3">
        <w:rPr>
          <w:sz w:val="20"/>
        </w:rPr>
        <w:t xml:space="preserve">sponsored by the Science Center </w:t>
      </w:r>
      <w:r w:rsidR="00931E24">
        <w:rPr>
          <w:sz w:val="20"/>
        </w:rPr>
        <w:t>and t</w:t>
      </w:r>
      <w:r w:rsidR="007166B3">
        <w:rPr>
          <w:sz w:val="20"/>
        </w:rPr>
        <w:t>he Lazarus Center for Career Development, we</w:t>
      </w:r>
      <w:r w:rsidR="009E67F7">
        <w:rPr>
          <w:sz w:val="20"/>
        </w:rPr>
        <w:t xml:space="preserve"> are well-positioned to </w:t>
      </w:r>
      <w:r w:rsidR="00C56BF8">
        <w:rPr>
          <w:sz w:val="20"/>
        </w:rPr>
        <w:t xml:space="preserve">connect with our network of accomplished alumnae and </w:t>
      </w:r>
      <w:r w:rsidR="009E67F7">
        <w:rPr>
          <w:sz w:val="20"/>
        </w:rPr>
        <w:t xml:space="preserve">enhance our focus on the ways in which </w:t>
      </w:r>
      <w:r w:rsidR="00FA0B4E">
        <w:rPr>
          <w:sz w:val="20"/>
        </w:rPr>
        <w:t xml:space="preserve">students’ expectations and attitudes about learning as well as their </w:t>
      </w:r>
      <w:r w:rsidR="009E67F7">
        <w:rPr>
          <w:sz w:val="20"/>
        </w:rPr>
        <w:t xml:space="preserve">sense of </w:t>
      </w:r>
      <w:r w:rsidR="00FA0B4E">
        <w:rPr>
          <w:sz w:val="20"/>
        </w:rPr>
        <w:t xml:space="preserve">identity and belonging </w:t>
      </w:r>
      <w:r w:rsidR="009E67F7">
        <w:rPr>
          <w:sz w:val="20"/>
        </w:rPr>
        <w:t>have demonstrable effects on their academic performance.</w:t>
      </w:r>
      <w:r w:rsidR="00931E24">
        <w:rPr>
          <w:sz w:val="20"/>
        </w:rPr>
        <w:t xml:space="preserve">  </w:t>
      </w:r>
      <w:r w:rsidR="009E67F7">
        <w:rPr>
          <w:sz w:val="20"/>
        </w:rPr>
        <w:t xml:space="preserve"> </w:t>
      </w:r>
      <w:r w:rsidR="00FA0B4E">
        <w:rPr>
          <w:sz w:val="20"/>
        </w:rPr>
        <w:t xml:space="preserve"> </w:t>
      </w:r>
    </w:p>
    <w:p w:rsidR="00A03707" w:rsidRDefault="00E402BE" w:rsidP="00FE165B">
      <w:pPr>
        <w:rPr>
          <w:color w:val="C00000"/>
          <w:sz w:val="20"/>
        </w:rPr>
      </w:pPr>
      <w:r>
        <w:rPr>
          <w:color w:val="538135" w:themeColor="accent6" w:themeShade="BF"/>
          <w:sz w:val="20"/>
        </w:rPr>
        <w:t>Guiding Principle</w:t>
      </w:r>
      <w:r w:rsidR="008C7BC4" w:rsidRPr="009818AF">
        <w:rPr>
          <w:color w:val="C00000"/>
          <w:sz w:val="20"/>
        </w:rPr>
        <w:t xml:space="preserve">  </w:t>
      </w:r>
    </w:p>
    <w:p w:rsidR="008C7BC4" w:rsidRDefault="003D67F5" w:rsidP="00FE165B">
      <w:pPr>
        <w:rPr>
          <w:sz w:val="20"/>
        </w:rPr>
      </w:pPr>
      <w:r>
        <w:rPr>
          <w:sz w:val="20"/>
        </w:rPr>
        <w:t>S</w:t>
      </w:r>
      <w:r w:rsidR="00FE165B">
        <w:rPr>
          <w:sz w:val="20"/>
        </w:rPr>
        <w:t xml:space="preserve">tudents’ mind sets, </w:t>
      </w:r>
      <w:r w:rsidR="00194CA9">
        <w:rPr>
          <w:sz w:val="20"/>
        </w:rPr>
        <w:t>metacognition</w:t>
      </w:r>
      <w:r w:rsidR="00FE165B">
        <w:rPr>
          <w:sz w:val="20"/>
        </w:rPr>
        <w:t>, and identity development are essential to learning as well as professio</w:t>
      </w:r>
      <w:r w:rsidR="006F4FE6">
        <w:rPr>
          <w:sz w:val="20"/>
        </w:rPr>
        <w:t>nal and personal fulfillment.</w:t>
      </w:r>
    </w:p>
    <w:p w:rsidR="0089743A" w:rsidRDefault="0089743A" w:rsidP="00FE165B">
      <w:pPr>
        <w:rPr>
          <w:sz w:val="20"/>
        </w:rPr>
      </w:pPr>
    </w:p>
    <w:p w:rsidR="00B9543D" w:rsidRPr="00E402BE" w:rsidRDefault="00DD53A2" w:rsidP="008133F0">
      <w:pPr>
        <w:pStyle w:val="Heading1"/>
        <w:rPr>
          <w:color w:val="1F4E79" w:themeColor="accent1" w:themeShade="80"/>
          <w:sz w:val="36"/>
        </w:rPr>
      </w:pPr>
      <w:r w:rsidRPr="00E402BE">
        <w:rPr>
          <w:color w:val="1F4E79" w:themeColor="accent1" w:themeShade="80"/>
          <w:sz w:val="36"/>
        </w:rPr>
        <w:t xml:space="preserve">Summary </w:t>
      </w:r>
    </w:p>
    <w:p w:rsidR="00B9543D" w:rsidRPr="00E402BE" w:rsidRDefault="00B9543D" w:rsidP="00B9543D">
      <w:pPr>
        <w:rPr>
          <w:color w:val="1F4E79" w:themeColor="accent1" w:themeShade="80"/>
        </w:rPr>
      </w:pPr>
      <w:r w:rsidRPr="00E402BE">
        <w:rPr>
          <w:noProof/>
          <w:color w:val="1F4E79" w:themeColor="accent1" w:themeShade="80"/>
          <w:lang w:eastAsia="en-US"/>
        </w:rPr>
        <mc:AlternateContent>
          <mc:Choice Requires="wps">
            <w:drawing>
              <wp:anchor distT="0" distB="0" distL="114300" distR="114300" simplePos="0" relativeHeight="251673600" behindDoc="0" locked="0" layoutInCell="1" allowOverlap="1" wp14:anchorId="2799A5B8" wp14:editId="4C773EA9">
                <wp:simplePos x="0" y="0"/>
                <wp:positionH relativeFrom="margin">
                  <wp:align>right</wp:align>
                </wp:positionH>
                <wp:positionV relativeFrom="paragraph">
                  <wp:posOffset>10159</wp:posOffset>
                </wp:positionV>
                <wp:extent cx="63817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381750" cy="9525"/>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A1CEC" id="Straight Connector 15"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8pt" to="95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" strokecolor="#1f4d78 [1604]" strokeweight="1.5pt">
                <v:stroke endcap="round"/>
                <w10:wrap anchorx="margin"/>
              </v:line>
            </w:pict>
          </mc:Fallback>
        </mc:AlternateContent>
      </w:r>
    </w:p>
    <w:p w:rsidR="005C15B6" w:rsidRPr="00E402BE" w:rsidRDefault="005C15B6" w:rsidP="00757124">
      <w:pPr>
        <w:rPr>
          <w:color w:val="1F4E79" w:themeColor="accent1" w:themeShade="80"/>
          <w:sz w:val="20"/>
        </w:rPr>
        <w:sectPr w:rsidR="005C15B6" w:rsidRPr="00E402BE" w:rsidSect="000D7753">
          <w:footerReference w:type="default" r:id="rId21"/>
          <w:pgSz w:w="12240" w:h="15840"/>
          <w:pgMar w:top="1440" w:right="1080" w:bottom="1440" w:left="1080" w:header="720" w:footer="720" w:gutter="0"/>
          <w:cols w:space="720"/>
          <w:docGrid w:linePitch="231"/>
        </w:sectPr>
      </w:pPr>
    </w:p>
    <w:p w:rsidR="005C15B6" w:rsidRPr="005C15B6" w:rsidRDefault="005C15B6" w:rsidP="005C15B6">
      <w:pPr>
        <w:keepNext/>
        <w:framePr w:dropCap="drop" w:lines="3" w:wrap="around" w:vAnchor="text" w:hAnchor="text"/>
        <w:spacing w:after="0" w:line="919" w:lineRule="exact"/>
        <w:jc w:val="both"/>
        <w:textAlignment w:val="baseline"/>
        <w:rPr>
          <w:position w:val="-8"/>
          <w:sz w:val="107"/>
        </w:rPr>
      </w:pPr>
      <w:r w:rsidRPr="005C15B6">
        <w:rPr>
          <w:position w:val="-8"/>
          <w:sz w:val="107"/>
        </w:rPr>
        <w:t>T</w:t>
      </w:r>
    </w:p>
    <w:p w:rsidR="005C15B6" w:rsidRDefault="005C15B6" w:rsidP="005C15B6">
      <w:pPr>
        <w:jc w:val="both"/>
        <w:rPr>
          <w:sz w:val="20"/>
        </w:rPr>
      </w:pPr>
      <w:r>
        <w:rPr>
          <w:sz w:val="20"/>
        </w:rPr>
        <w:t xml:space="preserve">he </w:t>
      </w:r>
      <w:r w:rsidRPr="005C15B6">
        <w:rPr>
          <w:i/>
          <w:sz w:val="20"/>
        </w:rPr>
        <w:t>Vision for the Future 2015</w:t>
      </w:r>
      <w:r>
        <w:rPr>
          <w:sz w:val="20"/>
        </w:rPr>
        <w:t xml:space="preserve"> is firmly grounded in the values a</w:t>
      </w:r>
      <w:r w:rsidR="005D5177">
        <w:rPr>
          <w:sz w:val="20"/>
        </w:rPr>
        <w:t xml:space="preserve">nd commitments of Smith as a liberal arts college </w:t>
      </w:r>
      <w:r>
        <w:rPr>
          <w:sz w:val="20"/>
        </w:rPr>
        <w:t xml:space="preserve">and articulates the ways in which the sciences </w:t>
      </w:r>
      <w:r w:rsidR="005D5177">
        <w:rPr>
          <w:sz w:val="20"/>
        </w:rPr>
        <w:t>here</w:t>
      </w:r>
      <w:r>
        <w:rPr>
          <w:sz w:val="20"/>
        </w:rPr>
        <w:t xml:space="preserve"> have translated these values and can imagine their future.  The self-study’s strategic directions provide a framework for organizing our resources and efforts.  </w:t>
      </w:r>
      <w:r w:rsidR="000E753E">
        <w:rPr>
          <w:sz w:val="20"/>
        </w:rPr>
        <w:t xml:space="preserve">We believe that these </w:t>
      </w:r>
      <w:r w:rsidR="004E2182">
        <w:rPr>
          <w:sz w:val="20"/>
        </w:rPr>
        <w:t xml:space="preserve">priorities </w:t>
      </w:r>
      <w:r w:rsidR="000E753E">
        <w:rPr>
          <w:sz w:val="20"/>
        </w:rPr>
        <w:t xml:space="preserve">will enhance our work educating all of our students, from those who take only one science course to those who major in a STEM field.  </w:t>
      </w:r>
    </w:p>
    <w:p w:rsidR="0076325A" w:rsidRDefault="008627C4" w:rsidP="005C15B6">
      <w:pPr>
        <w:jc w:val="both"/>
        <w:rPr>
          <w:sz w:val="20"/>
        </w:rPr>
      </w:pPr>
      <w:r>
        <w:rPr>
          <w:sz w:val="20"/>
        </w:rPr>
        <w:t xml:space="preserve">Our next step will involve imagining </w:t>
      </w:r>
      <w:r w:rsidR="0076325A">
        <w:rPr>
          <w:sz w:val="20"/>
        </w:rPr>
        <w:t xml:space="preserve">a series of broad initiatives that hold promise for pushing the sciences at Smith in each of the directions identified by our </w:t>
      </w:r>
      <w:r w:rsidR="00724251">
        <w:rPr>
          <w:sz w:val="20"/>
        </w:rPr>
        <w:t xml:space="preserve">strategic planning.  </w:t>
      </w:r>
      <w:r>
        <w:rPr>
          <w:sz w:val="20"/>
        </w:rPr>
        <w:t xml:space="preserve">We will elicit and generate </w:t>
      </w:r>
      <w:r w:rsidR="0076325A">
        <w:rPr>
          <w:sz w:val="20"/>
        </w:rPr>
        <w:t>imaginative ideas t</w:t>
      </w:r>
      <w:r w:rsidR="00527703">
        <w:rPr>
          <w:sz w:val="20"/>
        </w:rPr>
        <w:t xml:space="preserve">o </w:t>
      </w:r>
      <w:r w:rsidR="0076325A">
        <w:rPr>
          <w:sz w:val="20"/>
        </w:rPr>
        <w:t xml:space="preserve">help propel us forward.  As we </w:t>
      </w:r>
      <w:r>
        <w:rPr>
          <w:sz w:val="20"/>
        </w:rPr>
        <w:t xml:space="preserve">engage in these conversations, </w:t>
      </w:r>
      <w:r w:rsidR="0076325A">
        <w:rPr>
          <w:sz w:val="20"/>
        </w:rPr>
        <w:t>we expect that our efforts an</w:t>
      </w:r>
      <w:r>
        <w:rPr>
          <w:sz w:val="20"/>
        </w:rPr>
        <w:t xml:space="preserve">d programs will evolve with an </w:t>
      </w:r>
      <w:r w:rsidR="0076325A">
        <w:rPr>
          <w:sz w:val="20"/>
        </w:rPr>
        <w:t xml:space="preserve">understanding of our work’s success and sustainability.  </w:t>
      </w:r>
    </w:p>
    <w:p w:rsidR="000E753E" w:rsidRDefault="000E753E" w:rsidP="005C15B6">
      <w:pPr>
        <w:jc w:val="both"/>
        <w:rPr>
          <w:sz w:val="20"/>
        </w:rPr>
      </w:pPr>
      <w:r>
        <w:rPr>
          <w:sz w:val="20"/>
        </w:rPr>
        <w:t>Moving forward, we</w:t>
      </w:r>
      <w:r w:rsidR="008627C4">
        <w:rPr>
          <w:sz w:val="20"/>
        </w:rPr>
        <w:t xml:space="preserve"> also</w:t>
      </w:r>
      <w:r>
        <w:rPr>
          <w:sz w:val="20"/>
        </w:rPr>
        <w:t xml:space="preserve"> recognize the essential ways in which the College’s infrastructure</w:t>
      </w:r>
      <w:r w:rsidR="00BD364C">
        <w:rPr>
          <w:sz w:val="20"/>
        </w:rPr>
        <w:t>—equipment, facilities, budgets, personnel—is critical to the success of the sciences.  We will work to determine how the institution’s approach to asset management planning and principles might best support the directions of our strategic plan.  In addition, we see how essential assessment efforts and expertise are to program development and defin</w:t>
      </w:r>
      <w:r w:rsidR="0076325A">
        <w:rPr>
          <w:sz w:val="20"/>
        </w:rPr>
        <w:t>ing success, for the College as well as</w:t>
      </w:r>
      <w:r w:rsidR="00BD364C">
        <w:rPr>
          <w:sz w:val="20"/>
        </w:rPr>
        <w:t xml:space="preserve"> our alumnae and students.  We must continue to calibrate our efforts through formative, on-going assessment of our initiatives.</w:t>
      </w:r>
    </w:p>
    <w:p w:rsidR="00757124" w:rsidRDefault="00BD364C" w:rsidP="005C15B6">
      <w:pPr>
        <w:jc w:val="both"/>
        <w:rPr>
          <w:sz w:val="20"/>
        </w:rPr>
      </w:pPr>
      <w:r>
        <w:rPr>
          <w:sz w:val="20"/>
        </w:rPr>
        <w:t xml:space="preserve">The ideas in this strategic are bold, yet they build upon the extraordinary strengths and distinctive values of our institution.  </w:t>
      </w:r>
      <w:r w:rsidR="00060DBF">
        <w:rPr>
          <w:sz w:val="20"/>
        </w:rPr>
        <w:t xml:space="preserve">We look forward to continued conversations with and beyond our division in order to fulfill the mission of Smith College to “educate women of promise for lives of distinction.”  </w:t>
      </w:r>
      <w:r>
        <w:rPr>
          <w:sz w:val="20"/>
        </w:rPr>
        <w:t xml:space="preserve"> </w:t>
      </w:r>
    </w:p>
    <w:p w:rsidR="005C15B6" w:rsidRDefault="005C15B6" w:rsidP="002C379B">
      <w:pPr>
        <w:jc w:val="right"/>
        <w:rPr>
          <w:color w:val="A6A6A6" w:themeColor="background1" w:themeShade="A6"/>
          <w:sz w:val="20"/>
        </w:rPr>
        <w:sectPr w:rsidR="005C15B6" w:rsidSect="005C15B6">
          <w:type w:val="continuous"/>
          <w:pgSz w:w="12240" w:h="15840"/>
          <w:pgMar w:top="1440" w:right="1080" w:bottom="1440" w:left="1080" w:header="720" w:footer="720" w:gutter="0"/>
          <w:cols w:num="2" w:space="720"/>
          <w:docGrid w:linePitch="231"/>
        </w:sectPr>
      </w:pPr>
    </w:p>
    <w:p w:rsidR="002C379B" w:rsidRPr="002C379B" w:rsidRDefault="00D355B6" w:rsidP="002C379B">
      <w:pPr>
        <w:jc w:val="right"/>
        <w:rPr>
          <w:sz w:val="36"/>
        </w:rPr>
      </w:pPr>
      <w:r>
        <w:rPr>
          <w:color w:val="A6A6A6" w:themeColor="background1" w:themeShade="A6"/>
          <w:sz w:val="20"/>
        </w:rPr>
        <w:t>November</w:t>
      </w:r>
      <w:r w:rsidR="002C379B" w:rsidRPr="0014040E">
        <w:rPr>
          <w:color w:val="A6A6A6" w:themeColor="background1" w:themeShade="A6"/>
          <w:sz w:val="20"/>
        </w:rPr>
        <w:t>, 2014</w:t>
      </w:r>
    </w:p>
    <w:p w:rsidR="002C379B" w:rsidRDefault="002C379B">
      <w:pPr>
        <w:rPr>
          <w:rFonts w:asciiTheme="majorHAnsi" w:eastAsiaTheme="majorEastAsia" w:hAnsiTheme="majorHAnsi" w:cstheme="majorBidi"/>
          <w:color w:val="5B9BD5" w:themeColor="accent1"/>
          <w:sz w:val="36"/>
          <w:szCs w:val="28"/>
        </w:rPr>
      </w:pPr>
      <w:r>
        <w:rPr>
          <w:sz w:val="36"/>
        </w:rPr>
        <w:br w:type="page"/>
      </w:r>
    </w:p>
    <w:p w:rsidR="00335B9D" w:rsidRPr="00E402BE" w:rsidRDefault="00335B9D" w:rsidP="00335B9D">
      <w:pPr>
        <w:pStyle w:val="Heading1"/>
        <w:rPr>
          <w:color w:val="1F4E79" w:themeColor="accent1" w:themeShade="80"/>
          <w:sz w:val="36"/>
        </w:rPr>
      </w:pPr>
      <w:r w:rsidRPr="00E402BE">
        <w:rPr>
          <w:color w:val="1F4E79" w:themeColor="accent1" w:themeShade="80"/>
          <w:sz w:val="36"/>
        </w:rPr>
        <w:t>References</w:t>
      </w:r>
    </w:p>
    <w:p w:rsidR="00335B9D" w:rsidRPr="00E402BE" w:rsidRDefault="00335B9D" w:rsidP="00335B9D">
      <w:pPr>
        <w:rPr>
          <w:color w:val="323E4F" w:themeColor="text2" w:themeShade="BF"/>
        </w:rPr>
      </w:pPr>
      <w:r w:rsidRPr="00E402BE">
        <w:rPr>
          <w:noProof/>
          <w:color w:val="323E4F" w:themeColor="text2" w:themeShade="BF"/>
          <w:lang w:eastAsia="en-US"/>
        </w:rPr>
        <mc:AlternateContent>
          <mc:Choice Requires="wps">
            <w:drawing>
              <wp:anchor distT="0" distB="0" distL="114300" distR="114300" simplePos="0" relativeHeight="251683840" behindDoc="0" locked="0" layoutInCell="1" allowOverlap="1" wp14:anchorId="74505DA9" wp14:editId="4A261ED8">
                <wp:simplePos x="0" y="0"/>
                <wp:positionH relativeFrom="margin">
                  <wp:align>right</wp:align>
                </wp:positionH>
                <wp:positionV relativeFrom="paragraph">
                  <wp:posOffset>10159</wp:posOffset>
                </wp:positionV>
                <wp:extent cx="638175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6381750" cy="9525"/>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149BB" id="Straight Connector 25"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8pt" to="95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" strokecolor="#1f4d78 [1604]" strokeweight="1.5pt">
                <v:stroke endcap="round"/>
                <w10:wrap anchorx="margin"/>
              </v:line>
            </w:pict>
          </mc:Fallback>
        </mc:AlternateContent>
      </w:r>
    </w:p>
    <w:p w:rsidR="009E00EE" w:rsidRDefault="009E00EE" w:rsidP="00527E39">
      <w:pPr>
        <w:ind w:left="720" w:hanging="720"/>
      </w:pPr>
      <w:r>
        <w:t xml:space="preserve">Association of American Colleges and Universities (2011).  </w:t>
      </w:r>
      <w:r w:rsidRPr="00AA27B8">
        <w:rPr>
          <w:i/>
        </w:rPr>
        <w:t xml:space="preserve"> Liberal education and America’s promise</w:t>
      </w:r>
      <w:r>
        <w:t xml:space="preserve">.  Washington, DC: Author.  Retrieved from </w:t>
      </w:r>
      <w:hyperlink r:id="rId22" w:history="1">
        <w:r w:rsidRPr="009F3F0C">
          <w:rPr>
            <w:rStyle w:val="Hyperlink"/>
          </w:rPr>
          <w:t>http://www.aacu.org/leap/documents/Introduction_to_LEAP.pdf</w:t>
        </w:r>
      </w:hyperlink>
    </w:p>
    <w:p w:rsidR="009E00EE" w:rsidRDefault="009E00EE" w:rsidP="009E00EE">
      <w:pPr>
        <w:ind w:left="720" w:hanging="720"/>
        <w:rPr>
          <w:rStyle w:val="Hyperlink"/>
        </w:rPr>
      </w:pPr>
      <w:r w:rsidRPr="00244DC6">
        <w:t xml:space="preserve">American Association for the Advancement of Science (2010). </w:t>
      </w:r>
      <w:r w:rsidRPr="00244DC6">
        <w:rPr>
          <w:i/>
        </w:rPr>
        <w:t>Vision and change in undergraduate bio</w:t>
      </w:r>
      <w:r>
        <w:rPr>
          <w:i/>
        </w:rPr>
        <w:t>logy education: A call to action</w:t>
      </w:r>
      <w:r w:rsidRPr="00244DC6">
        <w:t>.  Washington, DC: Author.</w:t>
      </w:r>
      <w:r>
        <w:t xml:space="preserve"> Retrieved from </w:t>
      </w:r>
      <w:hyperlink r:id="rId23" w:history="1">
        <w:r w:rsidRPr="00244DC6">
          <w:rPr>
            <w:rStyle w:val="Hyperlink"/>
          </w:rPr>
          <w:t>http://visionandchange.org/files/2011/03/VC-Brochure-V6-3.pdf</w:t>
        </w:r>
      </w:hyperlink>
    </w:p>
    <w:p w:rsidR="00547157" w:rsidRDefault="00547157" w:rsidP="009E00EE">
      <w:pPr>
        <w:ind w:left="720" w:hanging="720"/>
        <w:rPr>
          <w:rFonts w:eastAsia="Arial Unicode MS" w:cs="Arial Unicode MS"/>
          <w:color w:val="000000"/>
          <w:szCs w:val="24"/>
        </w:rPr>
      </w:pPr>
      <w:proofErr w:type="spellStart"/>
      <w:r>
        <w:rPr>
          <w:rFonts w:eastAsia="Arial Unicode MS" w:cs="Arial Unicode MS"/>
          <w:color w:val="000000"/>
          <w:szCs w:val="24"/>
        </w:rPr>
        <w:t>Bettinger</w:t>
      </w:r>
      <w:proofErr w:type="spellEnd"/>
      <w:r>
        <w:rPr>
          <w:rFonts w:eastAsia="Arial Unicode MS" w:cs="Arial Unicode MS"/>
          <w:color w:val="000000"/>
          <w:szCs w:val="24"/>
        </w:rPr>
        <w:t xml:space="preserve">, E.P., and Long, B.T. (2005).  </w:t>
      </w:r>
      <w:r w:rsidRPr="00547157">
        <w:rPr>
          <w:rFonts w:eastAsia="Arial Unicode MS" w:cs="Arial Unicode MS"/>
          <w:i/>
          <w:color w:val="000000"/>
          <w:szCs w:val="24"/>
        </w:rPr>
        <w:t>Addressing the needs of under-prepared students in higher education: Does college remediation work?</w:t>
      </w:r>
      <w:r>
        <w:rPr>
          <w:rFonts w:eastAsia="Arial Unicode MS" w:cs="Arial Unicode MS"/>
          <w:color w:val="000000"/>
          <w:szCs w:val="24"/>
        </w:rPr>
        <w:t xml:space="preserve"> Cambridge, MA: National Bureau of Economic Research.</w:t>
      </w:r>
    </w:p>
    <w:p w:rsidR="0055331B" w:rsidRDefault="00631350" w:rsidP="009E00EE">
      <w:pPr>
        <w:ind w:left="720" w:hanging="720"/>
        <w:rPr>
          <w:rFonts w:eastAsia="Arial Unicode MS" w:cs="Arial Unicode MS"/>
          <w:color w:val="000000"/>
          <w:szCs w:val="24"/>
        </w:rPr>
      </w:pPr>
      <w:proofErr w:type="spellStart"/>
      <w:r>
        <w:rPr>
          <w:rFonts w:eastAsia="Arial Unicode MS" w:cs="Arial Unicode MS"/>
          <w:color w:val="000000"/>
          <w:szCs w:val="24"/>
        </w:rPr>
        <w:t>Dweck</w:t>
      </w:r>
      <w:proofErr w:type="spellEnd"/>
      <w:r>
        <w:rPr>
          <w:rFonts w:eastAsia="Arial Unicode MS" w:cs="Arial Unicode MS"/>
          <w:color w:val="000000"/>
          <w:szCs w:val="24"/>
        </w:rPr>
        <w:t xml:space="preserve">, C.S. (2006).  </w:t>
      </w:r>
      <w:r w:rsidRPr="00631350">
        <w:rPr>
          <w:rFonts w:eastAsia="Arial Unicode MS" w:cs="Arial Unicode MS"/>
          <w:i/>
          <w:color w:val="000000"/>
          <w:szCs w:val="24"/>
        </w:rPr>
        <w:t>Mindset: The new psychology of success</w:t>
      </w:r>
      <w:r>
        <w:rPr>
          <w:rFonts w:eastAsia="Arial Unicode MS" w:cs="Arial Unicode MS"/>
          <w:color w:val="000000"/>
          <w:szCs w:val="24"/>
        </w:rPr>
        <w:t>.  New York: Random House.</w:t>
      </w:r>
    </w:p>
    <w:p w:rsidR="009E00EE" w:rsidRPr="00C43B2C" w:rsidRDefault="009E00EE" w:rsidP="009E00EE">
      <w:pPr>
        <w:ind w:left="720" w:hanging="720"/>
        <w:rPr>
          <w:color w:val="0563C1" w:themeColor="hyperlink"/>
          <w:sz w:val="20"/>
          <w:u w:val="single"/>
        </w:rPr>
      </w:pPr>
      <w:r w:rsidRPr="00C43B2C">
        <w:rPr>
          <w:rFonts w:eastAsia="Arial Unicode MS" w:cs="Arial Unicode MS"/>
          <w:color w:val="000000"/>
          <w:szCs w:val="24"/>
        </w:rPr>
        <w:t>Hill, C., Corbett, C., St, Rose, A., &amp; American Association of University Women. (2010). </w:t>
      </w:r>
      <w:r>
        <w:rPr>
          <w:rFonts w:eastAsia="Arial Unicode MS" w:cs="Arial Unicode MS"/>
          <w:i/>
          <w:iCs/>
          <w:color w:val="000000"/>
          <w:szCs w:val="24"/>
        </w:rPr>
        <w:t xml:space="preserve">Why so few? </w:t>
      </w:r>
      <w:r w:rsidRPr="00C43B2C">
        <w:rPr>
          <w:rFonts w:eastAsia="Arial Unicode MS" w:cs="Arial Unicode MS"/>
          <w:i/>
          <w:iCs/>
          <w:color w:val="000000"/>
          <w:szCs w:val="24"/>
        </w:rPr>
        <w:t xml:space="preserve"> Women in science, technolo</w:t>
      </w:r>
      <w:r w:rsidR="00AA27B8">
        <w:rPr>
          <w:rFonts w:eastAsia="Arial Unicode MS" w:cs="Arial Unicode MS"/>
          <w:i/>
          <w:iCs/>
          <w:color w:val="000000"/>
          <w:szCs w:val="24"/>
        </w:rPr>
        <w:t>gy, engineering, and mathematics</w:t>
      </w:r>
      <w:r w:rsidRPr="00C43B2C">
        <w:rPr>
          <w:rFonts w:eastAsia="Arial Unicode MS" w:cs="Arial Unicode MS"/>
          <w:color w:val="000000"/>
          <w:szCs w:val="24"/>
        </w:rPr>
        <w:t>. Washington, D.C: AAUW.</w:t>
      </w:r>
      <w:r>
        <w:rPr>
          <w:rFonts w:eastAsia="Arial Unicode MS" w:cs="Arial Unicode MS"/>
          <w:color w:val="000000"/>
          <w:szCs w:val="24"/>
        </w:rPr>
        <w:t xml:space="preserve">  Retrieved from </w:t>
      </w:r>
      <w:hyperlink r:id="rId24" w:history="1">
        <w:r w:rsidRPr="00F34EFD">
          <w:rPr>
            <w:rStyle w:val="Hyperlink"/>
            <w:rFonts w:eastAsia="Arial Unicode MS" w:cs="Arial Unicode MS"/>
            <w:szCs w:val="24"/>
          </w:rPr>
          <w:t>http://www.aauw.org/research/why-so-few/</w:t>
        </w:r>
      </w:hyperlink>
      <w:r>
        <w:rPr>
          <w:rFonts w:eastAsia="Arial Unicode MS" w:cs="Arial Unicode MS"/>
          <w:color w:val="000000"/>
          <w:szCs w:val="24"/>
        </w:rPr>
        <w:t xml:space="preserve"> </w:t>
      </w:r>
    </w:p>
    <w:p w:rsidR="00527E39" w:rsidRPr="00527E39" w:rsidRDefault="00527E39" w:rsidP="009E00EE">
      <w:pPr>
        <w:ind w:left="720" w:hanging="720"/>
      </w:pPr>
      <w:r>
        <w:t xml:space="preserve">McDermott, P. &amp; Mack, K.M. (2014).  The Twenty-First-Century case for inclusive excellence in STEM.  </w:t>
      </w:r>
      <w:r>
        <w:rPr>
          <w:i/>
        </w:rPr>
        <w:t xml:space="preserve">Peer Review, 16, </w:t>
      </w:r>
    </w:p>
    <w:p w:rsidR="009E00EE" w:rsidRDefault="009E00EE" w:rsidP="009E00EE">
      <w:pPr>
        <w:ind w:left="720" w:hanging="720"/>
      </w:pPr>
      <w:r>
        <w:t xml:space="preserve">National Research Council (1999).  Key findings.  In </w:t>
      </w:r>
      <w:proofErr w:type="gramStart"/>
      <w:r>
        <w:rPr>
          <w:i/>
        </w:rPr>
        <w:t>How</w:t>
      </w:r>
      <w:proofErr w:type="gramEnd"/>
      <w:r>
        <w:rPr>
          <w:i/>
        </w:rPr>
        <w:t xml:space="preserve"> people learn: Bridging research and </w:t>
      </w:r>
      <w:r w:rsidRPr="00FA2CE0">
        <w:rPr>
          <w:i/>
        </w:rPr>
        <w:t>practice</w:t>
      </w:r>
      <w:r>
        <w:t xml:space="preserve"> (pp. 10-24).  Washington, DC: National Academies Press.  Retrieved from </w:t>
      </w:r>
      <w:hyperlink r:id="rId25" w:history="1">
        <w:r w:rsidRPr="00AA7DF2">
          <w:rPr>
            <w:rStyle w:val="Hyperlink"/>
          </w:rPr>
          <w:t>http://www.nap.edu/catalog.php?record_id=9457</w:t>
        </w:r>
      </w:hyperlink>
      <w:r>
        <w:t xml:space="preserve"> </w:t>
      </w:r>
    </w:p>
    <w:p w:rsidR="009E00EE" w:rsidRDefault="009E00EE" w:rsidP="009E00EE">
      <w:pPr>
        <w:ind w:left="720" w:hanging="720"/>
      </w:pPr>
      <w:r>
        <w:t xml:space="preserve">National Research Council (2012).  Instructional strategies.  In </w:t>
      </w:r>
      <w:r w:rsidRPr="002D49AF">
        <w:rPr>
          <w:i/>
        </w:rPr>
        <w:t>Discipline-based education research: Understanding and improving science and engineering</w:t>
      </w:r>
      <w:r>
        <w:t xml:space="preserve"> (pp. 119-139).  Washington, DC: National Academies Press.  Free download at </w:t>
      </w:r>
      <w:hyperlink r:id="rId26" w:history="1">
        <w:r w:rsidRPr="0041611A">
          <w:rPr>
            <w:rStyle w:val="Hyperlink"/>
          </w:rPr>
          <w:t>http://www.nap.edu/catalog.php?record_id=13362</w:t>
        </w:r>
      </w:hyperlink>
      <w:r>
        <w:t xml:space="preserve"> </w:t>
      </w:r>
    </w:p>
    <w:p w:rsidR="00672992" w:rsidRDefault="00672992" w:rsidP="009E00EE">
      <w:pPr>
        <w:ind w:left="720" w:hanging="720"/>
      </w:pPr>
      <w:r>
        <w:t xml:space="preserve">National Student Clearinghouse (2014).  </w:t>
      </w:r>
      <w:r w:rsidRPr="00672992">
        <w:rPr>
          <w:i/>
        </w:rPr>
        <w:t>Growth in Science and Engineering (S&amp;E) bachelor degrees by gender</w:t>
      </w:r>
      <w:r>
        <w:t xml:space="preserve">.  Retrieved from </w:t>
      </w:r>
      <w:hyperlink r:id="rId27" w:anchor="more-2111" w:history="1">
        <w:r w:rsidRPr="008F62DC">
          <w:rPr>
            <w:rStyle w:val="Hyperlink"/>
          </w:rPr>
          <w:t>http://nscresearchcenter.org/snapshotreport-degreeattainment3/#more-2111</w:t>
        </w:r>
      </w:hyperlink>
      <w:r>
        <w:t xml:space="preserve"> </w:t>
      </w:r>
    </w:p>
    <w:p w:rsidR="009E00EE" w:rsidRDefault="009E00EE" w:rsidP="009E00EE">
      <w:pPr>
        <w:ind w:left="720" w:hanging="720"/>
        <w:rPr>
          <w:rStyle w:val="Hyperlink"/>
        </w:rPr>
      </w:pPr>
      <w:r>
        <w:t xml:space="preserve">Rowlett, R.S., </w:t>
      </w:r>
      <w:proofErr w:type="spellStart"/>
      <w:r>
        <w:t>Blockus</w:t>
      </w:r>
      <w:proofErr w:type="spellEnd"/>
      <w:r>
        <w:t>, L., &amp; Larson, S. (2012).  Characteristics of excellence in undergraduate research (COEUR).  In the Council for Undergraduate Research</w:t>
      </w:r>
      <w:r w:rsidR="00AA27B8">
        <w:t xml:space="preserve"> (CUR)</w:t>
      </w:r>
      <w:r>
        <w:t xml:space="preserve">, </w:t>
      </w:r>
      <w:r>
        <w:rPr>
          <w:i/>
        </w:rPr>
        <w:t xml:space="preserve">Characteristics of Excellences in Undergraduate Research (COEUR) </w:t>
      </w:r>
      <w:r>
        <w:t>(pp. 2-19).  W</w:t>
      </w:r>
      <w:r w:rsidRPr="00244DC6">
        <w:t xml:space="preserve">ashington, DC: </w:t>
      </w:r>
      <w:r w:rsidR="00AA27B8">
        <w:t>CUR</w:t>
      </w:r>
      <w:r w:rsidRPr="00244DC6">
        <w:t>.</w:t>
      </w:r>
      <w:r>
        <w:t xml:space="preserve"> Retrieved from </w:t>
      </w:r>
      <w:hyperlink r:id="rId28" w:history="1">
        <w:r w:rsidRPr="0041611A">
          <w:rPr>
            <w:rStyle w:val="Hyperlink"/>
          </w:rPr>
          <w:t>http://www.cur.org/assets/1/23/COEUR_final.pdf</w:t>
        </w:r>
      </w:hyperlink>
    </w:p>
    <w:p w:rsidR="00631350" w:rsidRPr="00631350" w:rsidRDefault="00631350" w:rsidP="009E00EE">
      <w:pPr>
        <w:ind w:left="720" w:hanging="720"/>
      </w:pPr>
      <w:r>
        <w:t xml:space="preserve">Steele, C.M. (2010).  </w:t>
      </w:r>
      <w:r>
        <w:rPr>
          <w:i/>
        </w:rPr>
        <w:t xml:space="preserve">Whistling Vivaldi: How stereotypes affect us and what we can do.  </w:t>
      </w:r>
      <w:r>
        <w:t>New York: W.E. Norton &amp; Co.</w:t>
      </w:r>
    </w:p>
    <w:p w:rsidR="00631350" w:rsidRDefault="00631350" w:rsidP="009E00EE">
      <w:pPr>
        <w:ind w:left="720" w:hanging="720"/>
      </w:pPr>
      <w:proofErr w:type="spellStart"/>
      <w:r>
        <w:t>Valian</w:t>
      </w:r>
      <w:proofErr w:type="spellEnd"/>
      <w:r>
        <w:t>, V.C. (1998</w:t>
      </w:r>
      <w:r w:rsidR="0055331B">
        <w:t xml:space="preserve">).  </w:t>
      </w:r>
      <w:r w:rsidR="0055331B" w:rsidRPr="00631350">
        <w:rPr>
          <w:i/>
        </w:rPr>
        <w:t>Why so slow? The advance</w:t>
      </w:r>
      <w:r w:rsidRPr="00631350">
        <w:rPr>
          <w:i/>
        </w:rPr>
        <w:t>ment of women</w:t>
      </w:r>
      <w:r>
        <w:t xml:space="preserve">.  MA: The MIT Press.   </w:t>
      </w:r>
    </w:p>
    <w:p w:rsidR="00F52806" w:rsidRPr="00E402BE" w:rsidRDefault="00F52806" w:rsidP="00335B9D">
      <w:pPr>
        <w:pStyle w:val="Heading1"/>
        <w:rPr>
          <w:color w:val="1F4E79" w:themeColor="accent1" w:themeShade="80"/>
          <w:sz w:val="36"/>
        </w:rPr>
      </w:pPr>
      <w:r w:rsidRPr="00E402BE">
        <w:rPr>
          <w:color w:val="1F4E79" w:themeColor="accent1" w:themeShade="80"/>
          <w:sz w:val="36"/>
        </w:rPr>
        <w:t>Summer Strategic Planning Committee</w:t>
      </w:r>
    </w:p>
    <w:p w:rsidR="00F52806" w:rsidRPr="00E402BE" w:rsidRDefault="00F52806" w:rsidP="00F52806">
      <w:pPr>
        <w:rPr>
          <w:color w:val="323E4F" w:themeColor="text2" w:themeShade="BF"/>
        </w:rPr>
      </w:pPr>
      <w:r w:rsidRPr="00E402BE">
        <w:rPr>
          <w:noProof/>
          <w:color w:val="323E4F" w:themeColor="text2" w:themeShade="BF"/>
          <w:lang w:eastAsia="en-US"/>
        </w:rPr>
        <mc:AlternateContent>
          <mc:Choice Requires="wps">
            <w:drawing>
              <wp:anchor distT="0" distB="0" distL="114300" distR="114300" simplePos="0" relativeHeight="251677696" behindDoc="0" locked="0" layoutInCell="1" allowOverlap="1" wp14:anchorId="69F89652" wp14:editId="00ABC7EC">
                <wp:simplePos x="0" y="0"/>
                <wp:positionH relativeFrom="margin">
                  <wp:align>right</wp:align>
                </wp:positionH>
                <wp:positionV relativeFrom="paragraph">
                  <wp:posOffset>10159</wp:posOffset>
                </wp:positionV>
                <wp:extent cx="63817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6381750" cy="9525"/>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02C0F" id="Straight Connector 17"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8pt" to="95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" strokecolor="#1f4d78 [1604]" strokeweight="1.5pt">
                <v:stroke endcap="round"/>
                <w10:wrap anchorx="margin"/>
              </v:line>
            </w:pict>
          </mc:Fallback>
        </mc:AlternateContent>
      </w:r>
    </w:p>
    <w:p w:rsidR="004E2182" w:rsidRDefault="004E2182" w:rsidP="00B52F29">
      <w:pPr>
        <w:spacing w:after="40"/>
        <w:rPr>
          <w:sz w:val="20"/>
        </w:rPr>
        <w:sectPr w:rsidR="004E2182" w:rsidSect="007142DC">
          <w:type w:val="continuous"/>
          <w:pgSz w:w="12240" w:h="15840"/>
          <w:pgMar w:top="1440" w:right="1080" w:bottom="1440" w:left="1080" w:header="720" w:footer="720" w:gutter="0"/>
          <w:cols w:space="720"/>
          <w:docGrid w:linePitch="231"/>
        </w:sectPr>
      </w:pPr>
    </w:p>
    <w:p w:rsidR="00F52806" w:rsidRPr="004E2182" w:rsidRDefault="00F52806" w:rsidP="00B52F29">
      <w:pPr>
        <w:spacing w:after="40"/>
        <w:rPr>
          <w:sz w:val="18"/>
        </w:rPr>
      </w:pPr>
      <w:r w:rsidRPr="004E2182">
        <w:rPr>
          <w:sz w:val="18"/>
        </w:rPr>
        <w:t>Michael Barresi, Biological Sciences</w:t>
      </w:r>
    </w:p>
    <w:p w:rsidR="00F52806" w:rsidRPr="004E2182" w:rsidRDefault="00F52806" w:rsidP="00B52F29">
      <w:pPr>
        <w:spacing w:after="40"/>
        <w:rPr>
          <w:sz w:val="18"/>
        </w:rPr>
      </w:pPr>
      <w:r w:rsidRPr="004E2182">
        <w:rPr>
          <w:sz w:val="18"/>
        </w:rPr>
        <w:t xml:space="preserve">Patricia DiBartolo (Chair), Faculty Director </w:t>
      </w:r>
    </w:p>
    <w:p w:rsidR="00D13180" w:rsidRPr="004E2182" w:rsidRDefault="00D13180" w:rsidP="00B52F29">
      <w:pPr>
        <w:spacing w:after="40"/>
        <w:rPr>
          <w:sz w:val="18"/>
        </w:rPr>
      </w:pPr>
      <w:r w:rsidRPr="004E2182">
        <w:rPr>
          <w:sz w:val="18"/>
        </w:rPr>
        <w:t>Lauren Duncan, Psychology</w:t>
      </w:r>
    </w:p>
    <w:p w:rsidR="00F52806" w:rsidRPr="004E2182" w:rsidRDefault="00F52806" w:rsidP="00B52F29">
      <w:pPr>
        <w:spacing w:after="40"/>
        <w:rPr>
          <w:sz w:val="18"/>
        </w:rPr>
      </w:pPr>
      <w:r w:rsidRPr="004E2182">
        <w:rPr>
          <w:sz w:val="18"/>
        </w:rPr>
        <w:t>Eric Jensen, Center for Design and Fabrication</w:t>
      </w:r>
    </w:p>
    <w:p w:rsidR="00F52806" w:rsidRPr="004E2182" w:rsidRDefault="00F52806" w:rsidP="00B52F29">
      <w:pPr>
        <w:spacing w:after="40"/>
        <w:rPr>
          <w:sz w:val="18"/>
        </w:rPr>
      </w:pPr>
      <w:r w:rsidRPr="004E2182">
        <w:rPr>
          <w:sz w:val="18"/>
        </w:rPr>
        <w:t>Margaret Lamb, Administrativ</w:t>
      </w:r>
      <w:r w:rsidR="004E2182">
        <w:rPr>
          <w:sz w:val="18"/>
        </w:rPr>
        <w:t>e Director</w:t>
      </w:r>
    </w:p>
    <w:p w:rsidR="00D13180" w:rsidRPr="004E2182" w:rsidRDefault="00D13180" w:rsidP="00B52F29">
      <w:pPr>
        <w:spacing w:after="40"/>
        <w:rPr>
          <w:sz w:val="18"/>
        </w:rPr>
      </w:pPr>
      <w:r w:rsidRPr="004E2182">
        <w:rPr>
          <w:sz w:val="18"/>
        </w:rPr>
        <w:t>Minh Ly, Office of Institutional Research</w:t>
      </w:r>
    </w:p>
    <w:p w:rsidR="00F52806" w:rsidRPr="004E2182" w:rsidRDefault="00F52806" w:rsidP="00B52F29">
      <w:pPr>
        <w:spacing w:after="40"/>
        <w:rPr>
          <w:sz w:val="18"/>
        </w:rPr>
      </w:pPr>
      <w:proofErr w:type="spellStart"/>
      <w:r w:rsidRPr="004E2182">
        <w:rPr>
          <w:sz w:val="18"/>
        </w:rPr>
        <w:t>Borjana</w:t>
      </w:r>
      <w:proofErr w:type="spellEnd"/>
      <w:r w:rsidRPr="004E2182">
        <w:rPr>
          <w:sz w:val="18"/>
        </w:rPr>
        <w:t xml:space="preserve"> </w:t>
      </w:r>
      <w:proofErr w:type="spellStart"/>
      <w:r w:rsidRPr="004E2182">
        <w:rPr>
          <w:sz w:val="18"/>
        </w:rPr>
        <w:t>Mikic</w:t>
      </w:r>
      <w:proofErr w:type="spellEnd"/>
      <w:r w:rsidRPr="004E2182">
        <w:rPr>
          <w:sz w:val="18"/>
        </w:rPr>
        <w:t>, Engineering</w:t>
      </w:r>
    </w:p>
    <w:p w:rsidR="00F52806" w:rsidRPr="004E2182" w:rsidRDefault="00F52806" w:rsidP="00B52F29">
      <w:pPr>
        <w:spacing w:after="40"/>
        <w:rPr>
          <w:sz w:val="18"/>
        </w:rPr>
      </w:pPr>
      <w:r w:rsidRPr="004E2182">
        <w:rPr>
          <w:sz w:val="18"/>
        </w:rPr>
        <w:t>Joyce Palmer-Fortune, Physics</w:t>
      </w:r>
    </w:p>
    <w:p w:rsidR="00F52806" w:rsidRPr="004E2182" w:rsidRDefault="00F52806" w:rsidP="00B52F29">
      <w:pPr>
        <w:spacing w:after="40"/>
        <w:rPr>
          <w:sz w:val="18"/>
        </w:rPr>
      </w:pPr>
      <w:r w:rsidRPr="004E2182">
        <w:rPr>
          <w:sz w:val="18"/>
        </w:rPr>
        <w:t xml:space="preserve">Sara </w:t>
      </w:r>
      <w:proofErr w:type="spellStart"/>
      <w:r w:rsidRPr="004E2182">
        <w:rPr>
          <w:sz w:val="18"/>
        </w:rPr>
        <w:t>Pruss</w:t>
      </w:r>
      <w:proofErr w:type="spellEnd"/>
      <w:r w:rsidRPr="004E2182">
        <w:rPr>
          <w:sz w:val="18"/>
        </w:rPr>
        <w:t>, Geosciences</w:t>
      </w:r>
    </w:p>
    <w:p w:rsidR="00F52806" w:rsidRPr="004E2182" w:rsidRDefault="00F52806" w:rsidP="00B52F29">
      <w:pPr>
        <w:spacing w:after="40"/>
        <w:rPr>
          <w:sz w:val="18"/>
        </w:rPr>
      </w:pPr>
      <w:r w:rsidRPr="004E2182">
        <w:rPr>
          <w:sz w:val="18"/>
        </w:rPr>
        <w:t xml:space="preserve">Kate </w:t>
      </w:r>
      <w:proofErr w:type="spellStart"/>
      <w:r w:rsidRPr="004E2182">
        <w:rPr>
          <w:sz w:val="18"/>
        </w:rPr>
        <w:t>Queeney</w:t>
      </w:r>
      <w:proofErr w:type="spellEnd"/>
      <w:r w:rsidRPr="004E2182">
        <w:rPr>
          <w:sz w:val="18"/>
        </w:rPr>
        <w:t>, Chemistry</w:t>
      </w:r>
    </w:p>
    <w:p w:rsidR="00F52806" w:rsidRPr="004E2182" w:rsidRDefault="00F52806" w:rsidP="00B52F29">
      <w:pPr>
        <w:spacing w:after="40"/>
        <w:rPr>
          <w:sz w:val="18"/>
        </w:rPr>
      </w:pPr>
      <w:r w:rsidRPr="004E2182">
        <w:rPr>
          <w:sz w:val="18"/>
        </w:rPr>
        <w:t>Kevin Shea, Chemistry</w:t>
      </w:r>
    </w:p>
    <w:p w:rsidR="008C7BC4" w:rsidRPr="004E2182" w:rsidRDefault="00F52806" w:rsidP="00B52F29">
      <w:pPr>
        <w:spacing w:after="40"/>
        <w:rPr>
          <w:sz w:val="18"/>
        </w:rPr>
      </w:pPr>
      <w:r w:rsidRPr="004E2182">
        <w:rPr>
          <w:sz w:val="18"/>
        </w:rPr>
        <w:t xml:space="preserve">Julianna </w:t>
      </w:r>
      <w:proofErr w:type="spellStart"/>
      <w:r w:rsidRPr="004E2182">
        <w:rPr>
          <w:sz w:val="18"/>
        </w:rPr>
        <w:t>Tomoczko</w:t>
      </w:r>
      <w:proofErr w:type="spellEnd"/>
      <w:r w:rsidRPr="004E2182">
        <w:rPr>
          <w:sz w:val="18"/>
        </w:rPr>
        <w:t>, Mathematics and Statistics</w:t>
      </w:r>
    </w:p>
    <w:p w:rsidR="004E2182" w:rsidRPr="004E2182" w:rsidRDefault="004E2182" w:rsidP="001F2F4B">
      <w:pPr>
        <w:jc w:val="right"/>
        <w:rPr>
          <w:color w:val="A6A6A6" w:themeColor="background1" w:themeShade="A6"/>
          <w:sz w:val="18"/>
        </w:rPr>
        <w:sectPr w:rsidR="004E2182" w:rsidRPr="004E2182" w:rsidSect="004E2182">
          <w:type w:val="continuous"/>
          <w:pgSz w:w="12240" w:h="15840"/>
          <w:pgMar w:top="1440" w:right="1080" w:bottom="1440" w:left="1080" w:header="720" w:footer="720" w:gutter="0"/>
          <w:cols w:num="2" w:space="720"/>
          <w:docGrid w:linePitch="231"/>
        </w:sectPr>
      </w:pPr>
    </w:p>
    <w:p w:rsidR="009536E4" w:rsidRPr="0014040E" w:rsidRDefault="009536E4" w:rsidP="008627C4">
      <w:pPr>
        <w:rPr>
          <w:color w:val="A6A6A6" w:themeColor="background1" w:themeShade="A6"/>
          <w:sz w:val="20"/>
        </w:rPr>
      </w:pPr>
    </w:p>
    <w:sectPr w:rsidR="009536E4" w:rsidRPr="0014040E" w:rsidSect="008627C4">
      <w:footerReference w:type="default" r:id="rId29"/>
      <w:type w:val="continuous"/>
      <w:pgSz w:w="12240" w:h="15840"/>
      <w:pgMar w:top="1440" w:right="1080" w:bottom="1440" w:left="1080" w:header="720" w:footer="720" w:gutter="0"/>
      <w:cols w:space="720"/>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978" w:rsidRDefault="000B4978" w:rsidP="0014040E">
      <w:pPr>
        <w:spacing w:after="0" w:line="240" w:lineRule="auto"/>
      </w:pPr>
      <w:r>
        <w:separator/>
      </w:r>
    </w:p>
  </w:endnote>
  <w:endnote w:type="continuationSeparator" w:id="0">
    <w:p w:rsidR="000B4978" w:rsidRDefault="000B4978" w:rsidP="0014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75" w:rsidRPr="00A124B9" w:rsidRDefault="00435175" w:rsidP="00435175">
    <w:pPr>
      <w:ind w:left="720" w:firstLine="720"/>
      <w:rPr>
        <w:b/>
        <w:color w:val="C00000"/>
        <w:sz w:val="32"/>
      </w:rPr>
    </w:pPr>
    <w:r w:rsidRPr="00E402BE">
      <w:rPr>
        <w:noProof/>
        <w:color w:val="323E4F" w:themeColor="text2" w:themeShade="BF"/>
        <w:sz w:val="12"/>
        <w:lang w:eastAsia="en-US"/>
      </w:rPr>
      <mc:AlternateContent>
        <mc:Choice Requires="wps">
          <w:drawing>
            <wp:anchor distT="0" distB="0" distL="114300" distR="114300" simplePos="0" relativeHeight="251663360" behindDoc="0" locked="0" layoutInCell="1" allowOverlap="1" wp14:anchorId="1769C292" wp14:editId="4F5A2418">
              <wp:simplePos x="0" y="0"/>
              <wp:positionH relativeFrom="margin">
                <wp:align>right</wp:align>
              </wp:positionH>
              <wp:positionV relativeFrom="paragraph">
                <wp:posOffset>13969</wp:posOffset>
              </wp:positionV>
              <wp:extent cx="6381750" cy="9525"/>
              <wp:effectExtent l="0" t="0" r="19050" b="28575"/>
              <wp:wrapNone/>
              <wp:docPr id="79" name="Straight Connector 79"/>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rnd" cmpd="sng" algn="ctr">
                        <a:solidFill>
                          <a:schemeClr val="accent1">
                            <a:lumMod val="5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A95FB6" id="Straight Connector 79"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1.1pt" to="95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" strokecolor="#1f4d78 [1604]" strokeweight="1.5pt">
              <v:stroke endcap="round"/>
              <w10:wrap anchorx="margin"/>
            </v:line>
          </w:pict>
        </mc:Fallback>
      </mc:AlternateContent>
    </w:r>
    <w:proofErr w:type="gramStart"/>
    <w:r w:rsidRPr="00E402BE">
      <w:rPr>
        <w:b/>
        <w:color w:val="1F4E79" w:themeColor="accent1" w:themeShade="80"/>
        <w:sz w:val="32"/>
      </w:rPr>
      <w:t>welcome</w:t>
    </w:r>
    <w:proofErr w:type="gramEnd"/>
    <w:r w:rsidRPr="00A124B9">
      <w:rPr>
        <w:b/>
        <w:color w:val="00B0F0"/>
        <w:sz w:val="32"/>
      </w:rPr>
      <w:t xml:space="preserve">   </w:t>
    </w:r>
    <w:r>
      <w:rPr>
        <w:b/>
        <w:color w:val="00B0F0"/>
        <w:sz w:val="32"/>
      </w:rPr>
      <w:tab/>
    </w:r>
    <w:r w:rsidRPr="00211A0A">
      <w:rPr>
        <w:b/>
        <w:color w:val="BF8F00" w:themeColor="accent4" w:themeShade="BF"/>
        <w:sz w:val="32"/>
      </w:rPr>
      <w:t>connect</w:t>
    </w:r>
    <w:r w:rsidRPr="00211A0A">
      <w:rPr>
        <w:b/>
        <w:color w:val="BF8F00" w:themeColor="accent4" w:themeShade="BF"/>
        <w:sz w:val="32"/>
      </w:rPr>
      <w:tab/>
      <w:t xml:space="preserve"> </w:t>
    </w:r>
    <w:r>
      <w:rPr>
        <w:b/>
        <w:color w:val="00B050"/>
        <w:sz w:val="32"/>
      </w:rPr>
      <w:tab/>
    </w:r>
    <w:r w:rsidRPr="00211A0A">
      <w:rPr>
        <w:b/>
        <w:color w:val="542344"/>
        <w:sz w:val="32"/>
      </w:rPr>
      <w:t>develop</w:t>
    </w:r>
    <w:r w:rsidRPr="00A124B9">
      <w:rPr>
        <w:b/>
        <w:color w:val="00B050"/>
        <w:sz w:val="32"/>
      </w:rPr>
      <w:tab/>
      <w:t xml:space="preserve"> </w:t>
    </w:r>
    <w:r>
      <w:rPr>
        <w:b/>
        <w:color w:val="00B050"/>
        <w:sz w:val="32"/>
      </w:rPr>
      <w:tab/>
    </w:r>
    <w:r w:rsidRPr="00211A0A">
      <w:rPr>
        <w:b/>
        <w:color w:val="538135" w:themeColor="accent6" w:themeShade="BF"/>
        <w:sz w:val="32"/>
      </w:rPr>
      <w:t>fortify</w:t>
    </w:r>
  </w:p>
  <w:p w:rsidR="00435175" w:rsidRDefault="00435175">
    <w:pPr>
      <w:pStyle w:val="Footer"/>
    </w:pPr>
  </w:p>
  <w:p w:rsidR="003D67F5" w:rsidRDefault="003D6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75" w:rsidRPr="00A124B9" w:rsidRDefault="00435175" w:rsidP="00435175">
    <w:pPr>
      <w:ind w:left="720" w:firstLine="720"/>
      <w:rPr>
        <w:b/>
        <w:color w:val="C00000"/>
        <w:sz w:val="32"/>
      </w:rPr>
    </w:pPr>
  </w:p>
  <w:p w:rsidR="00435175" w:rsidRDefault="00435175">
    <w:pPr>
      <w:pStyle w:val="Footer"/>
    </w:pPr>
  </w:p>
  <w:p w:rsidR="00435175" w:rsidRDefault="00435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75" w:rsidRPr="00A124B9" w:rsidRDefault="00435175" w:rsidP="00435175">
    <w:pPr>
      <w:ind w:left="720" w:firstLine="720"/>
      <w:rPr>
        <w:b/>
        <w:color w:val="C00000"/>
        <w:sz w:val="32"/>
      </w:rPr>
    </w:pPr>
    <w:r w:rsidRPr="00E402BE">
      <w:rPr>
        <w:noProof/>
        <w:color w:val="323E4F" w:themeColor="text2" w:themeShade="BF"/>
        <w:sz w:val="12"/>
        <w:lang w:eastAsia="en-US"/>
      </w:rPr>
      <mc:AlternateContent>
        <mc:Choice Requires="wps">
          <w:drawing>
            <wp:anchor distT="0" distB="0" distL="114300" distR="114300" simplePos="0" relativeHeight="251665408" behindDoc="0" locked="0" layoutInCell="1" allowOverlap="1" wp14:anchorId="4955DF9F" wp14:editId="7E70A416">
              <wp:simplePos x="0" y="0"/>
              <wp:positionH relativeFrom="margin">
                <wp:align>right</wp:align>
              </wp:positionH>
              <wp:positionV relativeFrom="paragraph">
                <wp:posOffset>13969</wp:posOffset>
              </wp:positionV>
              <wp:extent cx="6381750" cy="9525"/>
              <wp:effectExtent l="0" t="0" r="19050" b="28575"/>
              <wp:wrapNone/>
              <wp:docPr id="80" name="Straight Connector 80"/>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rnd" cmpd="sng" algn="ctr">
                        <a:solidFill>
                          <a:schemeClr val="accent1">
                            <a:lumMod val="5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4F5657" id="Straight Connector 80"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1.1pt" to="95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" strokecolor="#1f4d78 [1604]" strokeweight="1.5pt">
              <v:stroke endcap="round"/>
              <w10:wrap anchorx="margin"/>
            </v:line>
          </w:pict>
        </mc:Fallback>
      </mc:AlternateContent>
    </w:r>
    <w:proofErr w:type="gramStart"/>
    <w:r w:rsidRPr="00E402BE">
      <w:rPr>
        <w:b/>
        <w:color w:val="1F4E79" w:themeColor="accent1" w:themeShade="80"/>
        <w:sz w:val="32"/>
      </w:rPr>
      <w:t>welcome</w:t>
    </w:r>
    <w:proofErr w:type="gramEnd"/>
    <w:r w:rsidRPr="00A124B9">
      <w:rPr>
        <w:b/>
        <w:color w:val="00B0F0"/>
        <w:sz w:val="32"/>
      </w:rPr>
      <w:t xml:space="preserve">   </w:t>
    </w:r>
    <w:r>
      <w:rPr>
        <w:b/>
        <w:color w:val="00B0F0"/>
        <w:sz w:val="32"/>
      </w:rPr>
      <w:tab/>
    </w:r>
    <w:r w:rsidRPr="00211A0A">
      <w:rPr>
        <w:b/>
        <w:color w:val="BF8F00" w:themeColor="accent4" w:themeShade="BF"/>
        <w:sz w:val="32"/>
      </w:rPr>
      <w:t>connect</w:t>
    </w:r>
    <w:r w:rsidRPr="00211A0A">
      <w:rPr>
        <w:b/>
        <w:color w:val="BF8F00" w:themeColor="accent4" w:themeShade="BF"/>
        <w:sz w:val="32"/>
      </w:rPr>
      <w:tab/>
      <w:t xml:space="preserve"> </w:t>
    </w:r>
    <w:r>
      <w:rPr>
        <w:b/>
        <w:color w:val="00B050"/>
        <w:sz w:val="32"/>
      </w:rPr>
      <w:tab/>
    </w:r>
    <w:r w:rsidRPr="00211A0A">
      <w:rPr>
        <w:b/>
        <w:color w:val="542344"/>
        <w:sz w:val="32"/>
      </w:rPr>
      <w:t>develop</w:t>
    </w:r>
    <w:r w:rsidRPr="00A124B9">
      <w:rPr>
        <w:b/>
        <w:color w:val="00B050"/>
        <w:sz w:val="32"/>
      </w:rPr>
      <w:tab/>
      <w:t xml:space="preserve"> </w:t>
    </w:r>
    <w:r>
      <w:rPr>
        <w:b/>
        <w:color w:val="00B050"/>
        <w:sz w:val="32"/>
      </w:rPr>
      <w:tab/>
    </w:r>
    <w:r w:rsidRPr="00211A0A">
      <w:rPr>
        <w:b/>
        <w:color w:val="538135" w:themeColor="accent6" w:themeShade="BF"/>
        <w:sz w:val="32"/>
      </w:rPr>
      <w:t>fortify</w:t>
    </w:r>
  </w:p>
  <w:p w:rsidR="00435175" w:rsidRDefault="00435175">
    <w:pPr>
      <w:pStyle w:val="Footer"/>
    </w:pPr>
  </w:p>
  <w:p w:rsidR="00435175" w:rsidRDefault="004351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75" w:rsidRPr="00A124B9" w:rsidRDefault="00435175" w:rsidP="00435175">
    <w:pPr>
      <w:ind w:left="720" w:firstLine="720"/>
      <w:rPr>
        <w:b/>
        <w:color w:val="C00000"/>
        <w:sz w:val="32"/>
      </w:rPr>
    </w:pPr>
  </w:p>
  <w:p w:rsidR="00435175" w:rsidRDefault="00435175">
    <w:pPr>
      <w:pStyle w:val="Footer"/>
    </w:pPr>
  </w:p>
  <w:p w:rsidR="00435175" w:rsidRDefault="00435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978" w:rsidRDefault="000B4978" w:rsidP="0014040E">
      <w:pPr>
        <w:spacing w:after="0" w:line="240" w:lineRule="auto"/>
      </w:pPr>
      <w:r>
        <w:separator/>
      </w:r>
    </w:p>
  </w:footnote>
  <w:footnote w:type="continuationSeparator" w:id="0">
    <w:p w:rsidR="000B4978" w:rsidRDefault="000B4978" w:rsidP="00140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F5" w:rsidRDefault="003D6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338287"/>
      <w:docPartObj>
        <w:docPartGallery w:val="Page Numbers (Top of Page)"/>
        <w:docPartUnique/>
      </w:docPartObj>
    </w:sdtPr>
    <w:sdtEndPr>
      <w:rPr>
        <w:noProof/>
      </w:rPr>
    </w:sdtEndPr>
    <w:sdtContent>
      <w:p w:rsidR="00211A0A" w:rsidRDefault="00211A0A">
        <w:pPr>
          <w:pStyle w:val="Header"/>
          <w:jc w:val="right"/>
        </w:pPr>
        <w:r>
          <w:fldChar w:fldCharType="begin"/>
        </w:r>
        <w:r>
          <w:instrText xml:space="preserve"> PAGE   \* MERGEFORMAT </w:instrText>
        </w:r>
        <w:r>
          <w:fldChar w:fldCharType="separate"/>
        </w:r>
        <w:r w:rsidR="00265D24">
          <w:rPr>
            <w:noProof/>
          </w:rPr>
          <w:t>11</w:t>
        </w:r>
        <w:r>
          <w:rPr>
            <w:noProof/>
          </w:rPr>
          <w:fldChar w:fldCharType="end"/>
        </w:r>
      </w:p>
    </w:sdtContent>
  </w:sdt>
  <w:p w:rsidR="0014040E" w:rsidRDefault="00140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375F2"/>
    <w:multiLevelType w:val="hybridMultilevel"/>
    <w:tmpl w:val="4388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8F42BC"/>
    <w:multiLevelType w:val="hybridMultilevel"/>
    <w:tmpl w:val="E654E2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F0"/>
    <w:rsid w:val="0001294C"/>
    <w:rsid w:val="000153BF"/>
    <w:rsid w:val="000345DA"/>
    <w:rsid w:val="000535ED"/>
    <w:rsid w:val="00055C28"/>
    <w:rsid w:val="00060DBF"/>
    <w:rsid w:val="00082C0D"/>
    <w:rsid w:val="00082D13"/>
    <w:rsid w:val="000958C5"/>
    <w:rsid w:val="000B4978"/>
    <w:rsid w:val="000D29F7"/>
    <w:rsid w:val="000D7753"/>
    <w:rsid w:val="000E753E"/>
    <w:rsid w:val="000F5D0B"/>
    <w:rsid w:val="000F6DDA"/>
    <w:rsid w:val="00101650"/>
    <w:rsid w:val="001141E1"/>
    <w:rsid w:val="001300B7"/>
    <w:rsid w:val="0014040E"/>
    <w:rsid w:val="00155043"/>
    <w:rsid w:val="00165C89"/>
    <w:rsid w:val="00194CA9"/>
    <w:rsid w:val="001B2D09"/>
    <w:rsid w:val="001F076F"/>
    <w:rsid w:val="001F2F4B"/>
    <w:rsid w:val="001F351F"/>
    <w:rsid w:val="002052E4"/>
    <w:rsid w:val="002063B0"/>
    <w:rsid w:val="00211A0A"/>
    <w:rsid w:val="00250DB2"/>
    <w:rsid w:val="00256C4B"/>
    <w:rsid w:val="00262D1E"/>
    <w:rsid w:val="00265471"/>
    <w:rsid w:val="00265D24"/>
    <w:rsid w:val="0027086D"/>
    <w:rsid w:val="002733C6"/>
    <w:rsid w:val="00285FC3"/>
    <w:rsid w:val="002A77C3"/>
    <w:rsid w:val="002C25F7"/>
    <w:rsid w:val="002C379B"/>
    <w:rsid w:val="002C472A"/>
    <w:rsid w:val="003103C5"/>
    <w:rsid w:val="0032208F"/>
    <w:rsid w:val="00334638"/>
    <w:rsid w:val="00335444"/>
    <w:rsid w:val="00335B9D"/>
    <w:rsid w:val="003434A6"/>
    <w:rsid w:val="003573AD"/>
    <w:rsid w:val="003A28F6"/>
    <w:rsid w:val="003A5B4A"/>
    <w:rsid w:val="003C692F"/>
    <w:rsid w:val="003D67F5"/>
    <w:rsid w:val="003E3403"/>
    <w:rsid w:val="004058C0"/>
    <w:rsid w:val="00412C95"/>
    <w:rsid w:val="00420FA1"/>
    <w:rsid w:val="00431B99"/>
    <w:rsid w:val="00435175"/>
    <w:rsid w:val="00443040"/>
    <w:rsid w:val="00451FAE"/>
    <w:rsid w:val="00463D25"/>
    <w:rsid w:val="00467D27"/>
    <w:rsid w:val="00495FE6"/>
    <w:rsid w:val="004C3959"/>
    <w:rsid w:val="004C546E"/>
    <w:rsid w:val="004E2182"/>
    <w:rsid w:val="004E46A7"/>
    <w:rsid w:val="004E60F5"/>
    <w:rsid w:val="0051624B"/>
    <w:rsid w:val="00527703"/>
    <w:rsid w:val="00527E39"/>
    <w:rsid w:val="00547157"/>
    <w:rsid w:val="0055331B"/>
    <w:rsid w:val="00575620"/>
    <w:rsid w:val="00580C0F"/>
    <w:rsid w:val="005918B1"/>
    <w:rsid w:val="005B4968"/>
    <w:rsid w:val="005C15B6"/>
    <w:rsid w:val="005C66E4"/>
    <w:rsid w:val="005D17E9"/>
    <w:rsid w:val="005D2D27"/>
    <w:rsid w:val="005D5177"/>
    <w:rsid w:val="005E2EE1"/>
    <w:rsid w:val="00600DD8"/>
    <w:rsid w:val="00602F1F"/>
    <w:rsid w:val="0062445D"/>
    <w:rsid w:val="00631350"/>
    <w:rsid w:val="00635E93"/>
    <w:rsid w:val="00641167"/>
    <w:rsid w:val="00641873"/>
    <w:rsid w:val="00670D22"/>
    <w:rsid w:val="00672992"/>
    <w:rsid w:val="006819C0"/>
    <w:rsid w:val="00695991"/>
    <w:rsid w:val="006C5045"/>
    <w:rsid w:val="006D2271"/>
    <w:rsid w:val="006F4FE6"/>
    <w:rsid w:val="007073F8"/>
    <w:rsid w:val="007142DC"/>
    <w:rsid w:val="007166B3"/>
    <w:rsid w:val="00724251"/>
    <w:rsid w:val="00727134"/>
    <w:rsid w:val="00754C4F"/>
    <w:rsid w:val="00755FB1"/>
    <w:rsid w:val="00757124"/>
    <w:rsid w:val="0076325A"/>
    <w:rsid w:val="00764E10"/>
    <w:rsid w:val="00776756"/>
    <w:rsid w:val="00795BEA"/>
    <w:rsid w:val="007B1DD5"/>
    <w:rsid w:val="007C04B9"/>
    <w:rsid w:val="007C38BC"/>
    <w:rsid w:val="007C5D86"/>
    <w:rsid w:val="007D2C51"/>
    <w:rsid w:val="008061E0"/>
    <w:rsid w:val="00806862"/>
    <w:rsid w:val="008133F0"/>
    <w:rsid w:val="0081799B"/>
    <w:rsid w:val="00846602"/>
    <w:rsid w:val="008627C4"/>
    <w:rsid w:val="0089359A"/>
    <w:rsid w:val="0089743A"/>
    <w:rsid w:val="008A5AA0"/>
    <w:rsid w:val="008C7BC4"/>
    <w:rsid w:val="008D1F98"/>
    <w:rsid w:val="00902347"/>
    <w:rsid w:val="00910AA0"/>
    <w:rsid w:val="009111AE"/>
    <w:rsid w:val="00912B50"/>
    <w:rsid w:val="00931E24"/>
    <w:rsid w:val="00940C67"/>
    <w:rsid w:val="00944A17"/>
    <w:rsid w:val="009536E4"/>
    <w:rsid w:val="009722A8"/>
    <w:rsid w:val="009818AF"/>
    <w:rsid w:val="00987316"/>
    <w:rsid w:val="00996784"/>
    <w:rsid w:val="009B1DE3"/>
    <w:rsid w:val="009D7F4E"/>
    <w:rsid w:val="009E00EE"/>
    <w:rsid w:val="009E2092"/>
    <w:rsid w:val="009E67F7"/>
    <w:rsid w:val="00A03707"/>
    <w:rsid w:val="00A124B9"/>
    <w:rsid w:val="00A24874"/>
    <w:rsid w:val="00A560CF"/>
    <w:rsid w:val="00A72B5E"/>
    <w:rsid w:val="00A73D1E"/>
    <w:rsid w:val="00A8289D"/>
    <w:rsid w:val="00A83C90"/>
    <w:rsid w:val="00A83E02"/>
    <w:rsid w:val="00A86265"/>
    <w:rsid w:val="00AA27B8"/>
    <w:rsid w:val="00AA56A5"/>
    <w:rsid w:val="00AB3DAC"/>
    <w:rsid w:val="00AD2178"/>
    <w:rsid w:val="00AD2E8E"/>
    <w:rsid w:val="00AD3ECF"/>
    <w:rsid w:val="00AF1A98"/>
    <w:rsid w:val="00AF489B"/>
    <w:rsid w:val="00B0299D"/>
    <w:rsid w:val="00B141B7"/>
    <w:rsid w:val="00B22A6D"/>
    <w:rsid w:val="00B260D8"/>
    <w:rsid w:val="00B52F29"/>
    <w:rsid w:val="00B54FC6"/>
    <w:rsid w:val="00B70C59"/>
    <w:rsid w:val="00B9543D"/>
    <w:rsid w:val="00B96F70"/>
    <w:rsid w:val="00BA7B23"/>
    <w:rsid w:val="00BD364C"/>
    <w:rsid w:val="00BE2773"/>
    <w:rsid w:val="00BE7C7C"/>
    <w:rsid w:val="00BF1580"/>
    <w:rsid w:val="00BF17B4"/>
    <w:rsid w:val="00BF1E25"/>
    <w:rsid w:val="00BF35D0"/>
    <w:rsid w:val="00C0083A"/>
    <w:rsid w:val="00C020C8"/>
    <w:rsid w:val="00C12B29"/>
    <w:rsid w:val="00C36D1E"/>
    <w:rsid w:val="00C45190"/>
    <w:rsid w:val="00C55CD9"/>
    <w:rsid w:val="00C56BF8"/>
    <w:rsid w:val="00C60A61"/>
    <w:rsid w:val="00C71172"/>
    <w:rsid w:val="00C77399"/>
    <w:rsid w:val="00C83AB9"/>
    <w:rsid w:val="00C90119"/>
    <w:rsid w:val="00CA3C66"/>
    <w:rsid w:val="00CA5906"/>
    <w:rsid w:val="00CC31BA"/>
    <w:rsid w:val="00CE0D94"/>
    <w:rsid w:val="00CE2BB4"/>
    <w:rsid w:val="00D1078E"/>
    <w:rsid w:val="00D13180"/>
    <w:rsid w:val="00D16926"/>
    <w:rsid w:val="00D26D70"/>
    <w:rsid w:val="00D34511"/>
    <w:rsid w:val="00D355B6"/>
    <w:rsid w:val="00D44601"/>
    <w:rsid w:val="00D526DD"/>
    <w:rsid w:val="00D627E9"/>
    <w:rsid w:val="00D718F1"/>
    <w:rsid w:val="00D76B16"/>
    <w:rsid w:val="00D87D08"/>
    <w:rsid w:val="00D937D1"/>
    <w:rsid w:val="00D96BE6"/>
    <w:rsid w:val="00DB57C3"/>
    <w:rsid w:val="00DC5CD4"/>
    <w:rsid w:val="00DD134F"/>
    <w:rsid w:val="00DD1DF7"/>
    <w:rsid w:val="00DD53A2"/>
    <w:rsid w:val="00DE3C93"/>
    <w:rsid w:val="00DF2D19"/>
    <w:rsid w:val="00E13F95"/>
    <w:rsid w:val="00E402BE"/>
    <w:rsid w:val="00E45524"/>
    <w:rsid w:val="00E6670B"/>
    <w:rsid w:val="00E66888"/>
    <w:rsid w:val="00E81C16"/>
    <w:rsid w:val="00EB4BFB"/>
    <w:rsid w:val="00EC27EB"/>
    <w:rsid w:val="00EC4B63"/>
    <w:rsid w:val="00ED4B71"/>
    <w:rsid w:val="00F0741D"/>
    <w:rsid w:val="00F3784D"/>
    <w:rsid w:val="00F42F00"/>
    <w:rsid w:val="00F52806"/>
    <w:rsid w:val="00F773A3"/>
    <w:rsid w:val="00F800E4"/>
    <w:rsid w:val="00F80E0A"/>
    <w:rsid w:val="00F85D9E"/>
    <w:rsid w:val="00F8730B"/>
    <w:rsid w:val="00F94DFA"/>
    <w:rsid w:val="00FA0B4E"/>
    <w:rsid w:val="00FA59B9"/>
    <w:rsid w:val="00FC4182"/>
    <w:rsid w:val="00FC65F4"/>
    <w:rsid w:val="00FD2551"/>
    <w:rsid w:val="00FE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4FDD3A-88FB-4602-AFE9-01FF8069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5B9BD5"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5B9BD5"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5B9BD5"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5B9BD5" w:themeColor="accent1"/>
      </w:pBdr>
      <w:spacing w:before="100" w:beforeAutospacing="1"/>
      <w:ind w:left="1224" w:right="1224"/>
    </w:pPr>
    <w:rPr>
      <w:color w:val="5B9BD5" w:themeColor="accent1"/>
      <w:sz w:val="28"/>
      <w:szCs w:val="28"/>
    </w:rPr>
  </w:style>
  <w:style w:type="character" w:customStyle="1" w:styleId="IntenseQuoteChar">
    <w:name w:val="Intense Quote Char"/>
    <w:basedOn w:val="DefaultParagraphFont"/>
    <w:link w:val="IntenseQuote"/>
    <w:uiPriority w:val="30"/>
    <w:rPr>
      <w:color w:val="5B9BD5"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8496B0" w:themeColor="text2" w:themeTint="99"/>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4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0E"/>
  </w:style>
  <w:style w:type="paragraph" w:styleId="Footer">
    <w:name w:val="footer"/>
    <w:basedOn w:val="Normal"/>
    <w:link w:val="FooterChar"/>
    <w:uiPriority w:val="99"/>
    <w:unhideWhenUsed/>
    <w:rsid w:val="00140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0E"/>
  </w:style>
  <w:style w:type="table" w:styleId="TableGrid">
    <w:name w:val="Table Grid"/>
    <w:basedOn w:val="TableNormal"/>
    <w:uiPriority w:val="39"/>
    <w:rsid w:val="00250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FA1"/>
    <w:rPr>
      <w:rFonts w:ascii="Segoe UI" w:hAnsi="Segoe UI" w:cs="Segoe UI"/>
      <w:sz w:val="18"/>
      <w:szCs w:val="18"/>
    </w:rPr>
  </w:style>
  <w:style w:type="paragraph" w:styleId="FootnoteText">
    <w:name w:val="footnote text"/>
    <w:basedOn w:val="Normal"/>
    <w:link w:val="FootnoteTextChar"/>
    <w:uiPriority w:val="99"/>
    <w:semiHidden/>
    <w:unhideWhenUsed/>
    <w:rsid w:val="00C02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0C8"/>
    <w:rPr>
      <w:sz w:val="20"/>
      <w:szCs w:val="20"/>
    </w:rPr>
  </w:style>
  <w:style w:type="character" w:styleId="FootnoteReference">
    <w:name w:val="footnote reference"/>
    <w:basedOn w:val="DefaultParagraphFont"/>
    <w:uiPriority w:val="99"/>
    <w:semiHidden/>
    <w:unhideWhenUsed/>
    <w:rsid w:val="00C02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http://www.nap.edu/catalog.php?record_id=13362"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www.nap.edu/catalog.php?record_id=9457"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auw.org/research/why-so-few/"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visionandchange.org/files/2011/03/VC-Brochure-V6-3.pdf" TargetMode="External"/><Relationship Id="rId28" Type="http://schemas.openxmlformats.org/officeDocument/2006/relationships/hyperlink" Target="http://www.cur.org/assets/1/23/COEUR_final.pdf" TargetMode="Externa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3.png"/><Relationship Id="rId22" Type="http://schemas.openxmlformats.org/officeDocument/2006/relationships/hyperlink" Target="http://www.aacu.org/leap/documents/Introduction_to_LEAP.pdf" TargetMode="External"/><Relationship Id="rId27" Type="http://schemas.openxmlformats.org/officeDocument/2006/relationships/hyperlink" Target="http://nscresearchcenter.org/snapshotreport-degreeattainment3/"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AppData\Roaming\Microsoft\Templates\Ion%20design%20(blank).dotx" TargetMode="External"/></Relationships>
</file>

<file path=word/theme/theme1.xml><?xml version="1.0" encoding="utf-8"?>
<a:theme xmlns:a="http://schemas.openxmlformats.org/drawingml/2006/main" name="Io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05E98B03-ECFB-489B-84A5-86727F4E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11</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image13</dc:creator>
  <cp:lastModifiedBy>image13</cp:lastModifiedBy>
  <cp:revision>2</cp:revision>
  <cp:lastPrinted>2014-08-12T14:55:00Z</cp:lastPrinted>
  <dcterms:created xsi:type="dcterms:W3CDTF">2014-12-01T14:20:00Z</dcterms:created>
  <dcterms:modified xsi:type="dcterms:W3CDTF">2014-12-01T14:20:00Z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