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40" w:rsidRDefault="00073740" w:rsidP="00073740">
      <w:pPr>
        <w:jc w:val="center"/>
        <w:rPr>
          <w:rFonts w:cs="Times New Roman"/>
        </w:rPr>
      </w:pPr>
      <w:r w:rsidRPr="00073740">
        <w:rPr>
          <w:rFonts w:cs="Times New Roman"/>
        </w:rPr>
        <w:t>History, Privilege, and Disproportional Environmental Burdens</w:t>
      </w:r>
    </w:p>
    <w:p w:rsidR="00F24F6D" w:rsidRDefault="00641CD4" w:rsidP="00FA590E">
      <w:pPr>
        <w:jc w:val="right"/>
        <w:rPr>
          <w:rFonts w:cs="Times New Roman"/>
        </w:rPr>
      </w:pPr>
      <w:r>
        <w:rPr>
          <w:rFonts w:cs="Times New Roman"/>
        </w:rPr>
        <w:t>Chris Wells</w:t>
      </w:r>
    </w:p>
    <w:p w:rsidR="00641CD4" w:rsidRDefault="00641CD4" w:rsidP="00FA590E">
      <w:pPr>
        <w:rPr>
          <w:rFonts w:cs="Times New Roman"/>
        </w:rPr>
      </w:pPr>
    </w:p>
    <w:p w:rsidR="0090052E" w:rsidRDefault="0090052E" w:rsidP="00FA590E">
      <w:pPr>
        <w:rPr>
          <w:rFonts w:cs="Times New Roman"/>
        </w:rPr>
      </w:pPr>
      <w:r>
        <w:rPr>
          <w:rFonts w:cs="Times New Roman"/>
        </w:rPr>
        <w:t>My course</w:t>
      </w:r>
      <w:r w:rsidR="00F6590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6590F">
        <w:rPr>
          <w:rFonts w:cs="Times New Roman"/>
        </w:rPr>
        <w:t>E</w:t>
      </w:r>
      <w:r>
        <w:rPr>
          <w:rFonts w:cs="Times New Roman"/>
        </w:rPr>
        <w:t xml:space="preserve">nvironmental </w:t>
      </w:r>
      <w:r w:rsidR="00F6590F">
        <w:rPr>
          <w:rFonts w:cs="Times New Roman"/>
        </w:rPr>
        <w:t>J</w:t>
      </w:r>
      <w:r>
        <w:rPr>
          <w:rFonts w:cs="Times New Roman"/>
        </w:rPr>
        <w:t xml:space="preserve">ustice, is cross-listed </w:t>
      </w:r>
      <w:r w:rsidR="00E828A5">
        <w:rPr>
          <w:rFonts w:cs="Times New Roman"/>
        </w:rPr>
        <w:t xml:space="preserve">among </w:t>
      </w:r>
      <w:r>
        <w:rPr>
          <w:rFonts w:cs="Times New Roman"/>
        </w:rPr>
        <w:t xml:space="preserve">the departments of Environmental Studies, History, and American Studies, </w:t>
      </w:r>
      <w:r w:rsidR="00E828A5">
        <w:rPr>
          <w:rFonts w:cs="Times New Roman"/>
        </w:rPr>
        <w:t xml:space="preserve">and </w:t>
      </w:r>
      <w:r>
        <w:rPr>
          <w:rFonts w:cs="Times New Roman"/>
        </w:rPr>
        <w:t>focuses on a few k</w:t>
      </w:r>
      <w:r w:rsidR="00641CD4">
        <w:rPr>
          <w:rFonts w:cs="Times New Roman"/>
        </w:rPr>
        <w:t>ey themes and take-home lessons.</w:t>
      </w:r>
    </w:p>
    <w:p w:rsidR="0090052E" w:rsidRDefault="0090052E" w:rsidP="00FA590E">
      <w:pPr>
        <w:rPr>
          <w:rFonts w:cs="Times New Roman"/>
        </w:rPr>
      </w:pPr>
    </w:p>
    <w:p w:rsidR="0090052E" w:rsidRDefault="0090052E" w:rsidP="00FA590E">
      <w:pPr>
        <w:rPr>
          <w:rFonts w:cs="Times New Roman"/>
        </w:rPr>
      </w:pPr>
      <w:r>
        <w:rPr>
          <w:rFonts w:cs="Times New Roman"/>
        </w:rPr>
        <w:t xml:space="preserve">First, </w:t>
      </w:r>
      <w:r w:rsidR="00EB786F">
        <w:rPr>
          <w:rFonts w:cs="Times New Roman"/>
        </w:rPr>
        <w:t xml:space="preserve">we think about </w:t>
      </w:r>
      <w:r w:rsidR="00D56A0B">
        <w:rPr>
          <w:rFonts w:cs="Times New Roman"/>
        </w:rPr>
        <w:t>the ways that</w:t>
      </w:r>
      <w:r w:rsidR="00EB786F">
        <w:rPr>
          <w:rFonts w:cs="Times New Roman"/>
        </w:rPr>
        <w:t xml:space="preserve"> </w:t>
      </w:r>
      <w:r w:rsidR="00EB786F" w:rsidRPr="00641CD4">
        <w:rPr>
          <w:rFonts w:cs="Times New Roman"/>
          <w:i/>
        </w:rPr>
        <w:t xml:space="preserve">the term “environmental justice” </w:t>
      </w:r>
      <w:proofErr w:type="gramStart"/>
      <w:r w:rsidR="00EB786F" w:rsidRPr="00641CD4">
        <w:rPr>
          <w:rFonts w:cs="Times New Roman"/>
          <w:i/>
        </w:rPr>
        <w:t>itself</w:t>
      </w:r>
      <w:proofErr w:type="gramEnd"/>
      <w:r w:rsidR="00D56A0B">
        <w:rPr>
          <w:rFonts w:cs="Times New Roman"/>
        </w:rPr>
        <w:t xml:space="preserve"> </w:t>
      </w:r>
      <w:r w:rsidR="00D56A0B" w:rsidRPr="00641CD4">
        <w:rPr>
          <w:rFonts w:cs="Times New Roman"/>
          <w:i/>
        </w:rPr>
        <w:t>is socially constructed</w:t>
      </w:r>
      <w:r w:rsidR="00EB786F">
        <w:rPr>
          <w:rFonts w:cs="Times New Roman"/>
        </w:rPr>
        <w:t xml:space="preserve">. Is it </w:t>
      </w:r>
      <w:r w:rsidR="00D56A0B">
        <w:rPr>
          <w:rFonts w:cs="Times New Roman"/>
        </w:rPr>
        <w:t xml:space="preserve">synonymous with </w:t>
      </w:r>
      <w:r w:rsidR="00EB786F">
        <w:rPr>
          <w:rFonts w:cs="Times New Roman"/>
        </w:rPr>
        <w:t xml:space="preserve">environmental racism? Can it affect poor white people, or does it only apply to racial minorities? Who </w:t>
      </w:r>
      <w:r w:rsidR="00641CD4">
        <w:rPr>
          <w:rFonts w:cs="Times New Roman"/>
        </w:rPr>
        <w:t>has been instrumental in</w:t>
      </w:r>
      <w:r w:rsidR="00EB786F">
        <w:rPr>
          <w:rFonts w:cs="Times New Roman"/>
        </w:rPr>
        <w:t xml:space="preserve"> </w:t>
      </w:r>
      <w:r w:rsidR="00641CD4">
        <w:rPr>
          <w:rFonts w:cs="Times New Roman"/>
        </w:rPr>
        <w:t>defining</w:t>
      </w:r>
      <w:r w:rsidR="00EB786F">
        <w:rPr>
          <w:rFonts w:cs="Times New Roman"/>
        </w:rPr>
        <w:t xml:space="preserve"> the term, and for what social and political ends? </w:t>
      </w:r>
      <w:r w:rsidR="00641CD4">
        <w:rPr>
          <w:rFonts w:cs="Times New Roman"/>
        </w:rPr>
        <w:t>Next, w</w:t>
      </w:r>
      <w:r w:rsidR="00EB786F">
        <w:rPr>
          <w:rFonts w:cs="Times New Roman"/>
        </w:rPr>
        <w:t xml:space="preserve">e </w:t>
      </w:r>
      <w:r w:rsidR="00641CD4">
        <w:rPr>
          <w:rFonts w:cs="Times New Roman"/>
        </w:rPr>
        <w:t xml:space="preserve">discuss </w:t>
      </w:r>
      <w:r w:rsidR="00EB786F">
        <w:rPr>
          <w:rFonts w:cs="Times New Roman"/>
        </w:rPr>
        <w:t xml:space="preserve">the advantages—especially for </w:t>
      </w:r>
      <w:r w:rsidR="00D56A0B">
        <w:rPr>
          <w:rFonts w:cs="Times New Roman"/>
        </w:rPr>
        <w:t>thinking about</w:t>
      </w:r>
      <w:r w:rsidR="00EB786F">
        <w:rPr>
          <w:rFonts w:cs="Times New Roman"/>
        </w:rPr>
        <w:t xml:space="preserve"> the period before modern environmental justice advocacy emerged—of thinking about environmental justice </w:t>
      </w:r>
      <w:r w:rsidR="00A546A3">
        <w:rPr>
          <w:rFonts w:cs="Times New Roman"/>
        </w:rPr>
        <w:t xml:space="preserve">in terms of </w:t>
      </w:r>
      <w:r w:rsidR="00CD6525">
        <w:rPr>
          <w:rFonts w:cs="Times New Roman"/>
        </w:rPr>
        <w:t xml:space="preserve">times and places where </w:t>
      </w:r>
      <w:r>
        <w:rPr>
          <w:rFonts w:cs="Times New Roman"/>
        </w:rPr>
        <w:t>marginalized populations</w:t>
      </w:r>
      <w:r w:rsidR="00A546A3">
        <w:rPr>
          <w:rFonts w:cs="Times New Roman"/>
        </w:rPr>
        <w:t xml:space="preserve"> (and </w:t>
      </w:r>
      <w:r>
        <w:rPr>
          <w:rFonts w:cs="Times New Roman"/>
        </w:rPr>
        <w:t>esp</w:t>
      </w:r>
      <w:r w:rsidR="00A546A3">
        <w:rPr>
          <w:rFonts w:cs="Times New Roman"/>
        </w:rPr>
        <w:t>ecially</w:t>
      </w:r>
      <w:r>
        <w:rPr>
          <w:rFonts w:cs="Times New Roman"/>
        </w:rPr>
        <w:t xml:space="preserve"> </w:t>
      </w:r>
      <w:r w:rsidR="00A546A3">
        <w:rPr>
          <w:rFonts w:cs="Times New Roman"/>
        </w:rPr>
        <w:t xml:space="preserve">racial minorities) </w:t>
      </w:r>
      <w:r w:rsidR="00CD6525">
        <w:rPr>
          <w:rFonts w:cs="Times New Roman"/>
        </w:rPr>
        <w:t xml:space="preserve">have had to shoulder </w:t>
      </w:r>
      <w:r w:rsidR="00A546A3">
        <w:rPr>
          <w:rFonts w:cs="Times New Roman"/>
        </w:rPr>
        <w:t>disprop</w:t>
      </w:r>
      <w:r w:rsidR="00CD6525">
        <w:rPr>
          <w:rFonts w:cs="Times New Roman"/>
        </w:rPr>
        <w:t>ortional</w:t>
      </w:r>
      <w:r w:rsidR="00A546A3">
        <w:rPr>
          <w:rFonts w:cs="Times New Roman"/>
        </w:rPr>
        <w:t xml:space="preserve"> environmental burdens compared to more powerful members of society.</w:t>
      </w:r>
      <w:r w:rsidR="00CB7EC1">
        <w:rPr>
          <w:rFonts w:cs="Times New Roman"/>
        </w:rPr>
        <w:t xml:space="preserve"> </w:t>
      </w:r>
      <w:r w:rsidR="00F24F6D">
        <w:rPr>
          <w:rFonts w:cs="Times New Roman"/>
        </w:rPr>
        <w:t>W</w:t>
      </w:r>
      <w:r w:rsidR="00CB7EC1">
        <w:rPr>
          <w:rFonts w:cs="Times New Roman"/>
        </w:rPr>
        <w:t xml:space="preserve">e </w:t>
      </w:r>
      <w:r w:rsidR="00F24F6D">
        <w:rPr>
          <w:rFonts w:cs="Times New Roman"/>
        </w:rPr>
        <w:t xml:space="preserve">also </w:t>
      </w:r>
      <w:r w:rsidR="00CB7EC1">
        <w:rPr>
          <w:rFonts w:cs="Times New Roman"/>
        </w:rPr>
        <w:t>discuss the observations of C. S. Lewis, who argued that “what we call Man’s power over Nature turns out to be a power exercised by some men over other men with Nature as its instrument.”</w:t>
      </w:r>
      <w:r w:rsidR="00CB7EC1">
        <w:rPr>
          <w:rStyle w:val="FootnoteReference"/>
          <w:rFonts w:cs="Times New Roman"/>
        </w:rPr>
        <w:footnoteReference w:id="1"/>
      </w:r>
      <w:r w:rsidR="00A546A3">
        <w:rPr>
          <w:rFonts w:cs="Times New Roman"/>
        </w:rPr>
        <w:t xml:space="preserve"> </w:t>
      </w:r>
    </w:p>
    <w:p w:rsidR="0090052E" w:rsidRDefault="0090052E" w:rsidP="00FA590E">
      <w:pPr>
        <w:rPr>
          <w:rFonts w:cs="Times New Roman"/>
        </w:rPr>
      </w:pPr>
    </w:p>
    <w:p w:rsidR="000C1C0A" w:rsidRDefault="00641CD4" w:rsidP="00FA590E">
      <w:pPr>
        <w:rPr>
          <w:rFonts w:cs="Times New Roman"/>
        </w:rPr>
      </w:pPr>
      <w:r>
        <w:rPr>
          <w:rFonts w:cs="Times New Roman"/>
        </w:rPr>
        <w:t xml:space="preserve">Second, the course takes </w:t>
      </w:r>
      <w:r w:rsidR="0090052E">
        <w:rPr>
          <w:rFonts w:cs="Times New Roman"/>
        </w:rPr>
        <w:t xml:space="preserve">a </w:t>
      </w:r>
      <w:r w:rsidR="0090052E">
        <w:rPr>
          <w:rFonts w:cs="Times New Roman"/>
          <w:i/>
        </w:rPr>
        <w:t>historical approach</w:t>
      </w:r>
      <w:r w:rsidR="00905CB7">
        <w:rPr>
          <w:rFonts w:cs="Times New Roman"/>
          <w:i/>
        </w:rPr>
        <w:t xml:space="preserve"> </w:t>
      </w:r>
      <w:r w:rsidR="002E4BEE">
        <w:rPr>
          <w:rFonts w:cs="Times New Roman"/>
        </w:rPr>
        <w:t xml:space="preserve">to identifying and understanding the ways that </w:t>
      </w:r>
      <w:r w:rsidR="002E4BEE" w:rsidRPr="002E4BEE">
        <w:rPr>
          <w:rFonts w:cs="Times New Roman"/>
        </w:rPr>
        <w:t>structural inequalities</w:t>
      </w:r>
      <w:r w:rsidR="002E4BEE">
        <w:rPr>
          <w:rFonts w:cs="Times New Roman"/>
        </w:rPr>
        <w:t xml:space="preserve"> have emerged as a product of changing social, </w:t>
      </w:r>
      <w:r w:rsidR="0093565A">
        <w:rPr>
          <w:rFonts w:cs="Times New Roman"/>
        </w:rPr>
        <w:t xml:space="preserve">political, </w:t>
      </w:r>
      <w:r w:rsidR="002E4BEE">
        <w:rPr>
          <w:rFonts w:cs="Times New Roman"/>
        </w:rPr>
        <w:t>environmental, and economic conditions</w:t>
      </w:r>
      <w:r w:rsidR="00FA590E">
        <w:rPr>
          <w:rFonts w:cs="Times New Roman"/>
        </w:rPr>
        <w:t>. We also spend a good deal of time discussing</w:t>
      </w:r>
      <w:r w:rsidR="00E05069">
        <w:rPr>
          <w:rFonts w:cs="Times New Roman"/>
        </w:rPr>
        <w:t xml:space="preserve"> the ways that those </w:t>
      </w:r>
      <w:r w:rsidR="0093565A">
        <w:rPr>
          <w:rFonts w:cs="Times New Roman"/>
        </w:rPr>
        <w:t xml:space="preserve">structural </w:t>
      </w:r>
      <w:r w:rsidR="00E05069">
        <w:rPr>
          <w:rFonts w:cs="Times New Roman"/>
        </w:rPr>
        <w:t>inequalities reflect (and feed) evolving power relations in American society.</w:t>
      </w:r>
      <w:r w:rsidR="000C1C0A">
        <w:rPr>
          <w:rFonts w:cs="Times New Roman"/>
        </w:rPr>
        <w:t xml:space="preserve"> </w:t>
      </w:r>
    </w:p>
    <w:p w:rsidR="000C1C0A" w:rsidRDefault="000C1C0A" w:rsidP="00FA590E">
      <w:pPr>
        <w:rPr>
          <w:rFonts w:cs="Times New Roman"/>
        </w:rPr>
      </w:pPr>
    </w:p>
    <w:p w:rsidR="002E4BEE" w:rsidRDefault="000C1C0A" w:rsidP="00DF2540">
      <w:pPr>
        <w:rPr>
          <w:rFonts w:cs="Times New Roman"/>
        </w:rPr>
      </w:pPr>
      <w:r>
        <w:rPr>
          <w:rFonts w:cs="Times New Roman"/>
        </w:rPr>
        <w:t xml:space="preserve">Third, we think about the ways that </w:t>
      </w:r>
      <w:r w:rsidR="00FA590E">
        <w:rPr>
          <w:rFonts w:cs="Times New Roman"/>
          <w:i/>
        </w:rPr>
        <w:t xml:space="preserve">environmental decision-making </w:t>
      </w:r>
      <w:r w:rsidR="00BC562C">
        <w:rPr>
          <w:rFonts w:cs="Times New Roman"/>
          <w:i/>
        </w:rPr>
        <w:t>intersect</w:t>
      </w:r>
      <w:r w:rsidR="00715E1A">
        <w:rPr>
          <w:rFonts w:cs="Times New Roman"/>
          <w:i/>
        </w:rPr>
        <w:t>s</w:t>
      </w:r>
      <w:r w:rsidR="00FA590E">
        <w:rPr>
          <w:rFonts w:cs="Times New Roman"/>
          <w:i/>
        </w:rPr>
        <w:t xml:space="preserve"> with </w:t>
      </w:r>
      <w:r>
        <w:rPr>
          <w:rFonts w:cs="Times New Roman"/>
          <w:i/>
        </w:rPr>
        <w:t>race and class</w:t>
      </w:r>
      <w:r w:rsidR="00692DFA">
        <w:rPr>
          <w:rFonts w:cs="Times New Roman"/>
          <w:i/>
        </w:rPr>
        <w:t xml:space="preserve"> privilege</w:t>
      </w:r>
      <w:r w:rsidR="00692DFA">
        <w:rPr>
          <w:rFonts w:cs="Times New Roman"/>
        </w:rPr>
        <w:t xml:space="preserve">. </w:t>
      </w:r>
      <w:r w:rsidR="00BC562C">
        <w:rPr>
          <w:rFonts w:cs="Times New Roman"/>
        </w:rPr>
        <w:t xml:space="preserve">A number of our case studies highlight the role of traditional environmental decision-making structures </w:t>
      </w:r>
      <w:r w:rsidR="00EC445D">
        <w:rPr>
          <w:rFonts w:cs="Times New Roman"/>
        </w:rPr>
        <w:t xml:space="preserve">tend to privilege the opinions of outsiders over residents, expert interpretation over “lived experience,” </w:t>
      </w:r>
      <w:r w:rsidR="00773F3A">
        <w:rPr>
          <w:rFonts w:cs="Times New Roman"/>
        </w:rPr>
        <w:t>and broad social good over parochial, self-interested (“NIMBY”)</w:t>
      </w:r>
      <w:r w:rsidR="00EC445D">
        <w:rPr>
          <w:rFonts w:cs="Times New Roman"/>
        </w:rPr>
        <w:t xml:space="preserve"> </w:t>
      </w:r>
      <w:r w:rsidR="00773F3A">
        <w:rPr>
          <w:rFonts w:cs="Times New Roman"/>
        </w:rPr>
        <w:t xml:space="preserve">objections. </w:t>
      </w:r>
      <w:r w:rsidR="001943C2">
        <w:rPr>
          <w:rFonts w:cs="Times New Roman"/>
        </w:rPr>
        <w:t xml:space="preserve">During the early “Conservation Era,” for example, </w:t>
      </w:r>
      <w:r w:rsidR="005A5709">
        <w:rPr>
          <w:rFonts w:cs="Times New Roman"/>
        </w:rPr>
        <w:t xml:space="preserve">new laws designed to protect natural resources from overexploitation </w:t>
      </w:r>
      <w:r w:rsidR="000E77DD">
        <w:rPr>
          <w:rFonts w:cs="Times New Roman"/>
        </w:rPr>
        <w:t xml:space="preserve">imposed harsh new restrictions on (poor, sometimes </w:t>
      </w:r>
      <w:r w:rsidR="000B752C">
        <w:rPr>
          <w:rFonts w:cs="Times New Roman"/>
        </w:rPr>
        <w:t xml:space="preserve">white, sometimes </w:t>
      </w:r>
      <w:r w:rsidR="000E77DD">
        <w:rPr>
          <w:rFonts w:cs="Times New Roman"/>
        </w:rPr>
        <w:t xml:space="preserve">Native American) local residents that broke markedly with past practices. </w:t>
      </w:r>
      <w:r w:rsidR="003925D9">
        <w:rPr>
          <w:rFonts w:cs="Times New Roman"/>
        </w:rPr>
        <w:t>Traditional “frontier” activities like harvesting timber from public lands to build a log cabin, hunting wild game to feed one’s family</w:t>
      </w:r>
      <w:r w:rsidR="00FD6C45">
        <w:rPr>
          <w:rFonts w:cs="Times New Roman"/>
        </w:rPr>
        <w:t>, or burning trees and underbrush to clear land for agriculture suddenly became, as a result of new conservation laws, criminal activities: timber theft, poaching, arson.</w:t>
      </w:r>
      <w:r w:rsidR="00715E1A">
        <w:rPr>
          <w:rFonts w:cs="Times New Roman"/>
        </w:rPr>
        <w:t xml:space="preserve"> Similarly, establishing national parks and opening their scenic wonders for public enjoyment often meant evicting Native American residents or blocking their rights of access for traditional hunting and gathering activities.</w:t>
      </w:r>
      <w:r w:rsidR="00B04738">
        <w:rPr>
          <w:rStyle w:val="FootnoteReference"/>
          <w:rFonts w:cs="Times New Roman"/>
        </w:rPr>
        <w:footnoteReference w:id="2"/>
      </w:r>
      <w:r w:rsidR="00DF2540">
        <w:rPr>
          <w:rFonts w:cs="Times New Roman"/>
        </w:rPr>
        <w:t xml:space="preserve"> </w:t>
      </w:r>
    </w:p>
    <w:p w:rsidR="00DF2540" w:rsidRDefault="00DF2540" w:rsidP="00DF2540">
      <w:pPr>
        <w:rPr>
          <w:rFonts w:cs="Times New Roman"/>
        </w:rPr>
      </w:pPr>
    </w:p>
    <w:p w:rsidR="00F04D53" w:rsidRPr="00F04D53" w:rsidRDefault="00565F78" w:rsidP="00FA590E">
      <w:pPr>
        <w:rPr>
          <w:rFonts w:cs="Times New Roman"/>
        </w:rPr>
      </w:pPr>
      <w:r>
        <w:rPr>
          <w:rFonts w:cs="Times New Roman"/>
        </w:rPr>
        <w:t xml:space="preserve">Finally, we discuss the power </w:t>
      </w:r>
      <w:r w:rsidR="007C40CD">
        <w:rPr>
          <w:rFonts w:cs="Times New Roman"/>
        </w:rPr>
        <w:t xml:space="preserve">(and limits) </w:t>
      </w:r>
      <w:r>
        <w:rPr>
          <w:rFonts w:cs="Times New Roman"/>
        </w:rPr>
        <w:t>of</w:t>
      </w:r>
      <w:r w:rsidR="009B649C">
        <w:rPr>
          <w:rFonts w:cs="Times New Roman"/>
        </w:rPr>
        <w:t xml:space="preserve"> </w:t>
      </w:r>
      <w:r w:rsidR="009B649C">
        <w:rPr>
          <w:rFonts w:cs="Times New Roman"/>
          <w:i/>
        </w:rPr>
        <w:t xml:space="preserve">narrative </w:t>
      </w:r>
      <w:r>
        <w:rPr>
          <w:rFonts w:cs="Times New Roman"/>
        </w:rPr>
        <w:t xml:space="preserve">as a tool </w:t>
      </w:r>
      <w:r w:rsidR="00905CB7">
        <w:rPr>
          <w:rFonts w:cs="Times New Roman"/>
        </w:rPr>
        <w:t xml:space="preserve">for understanding how and why </w:t>
      </w:r>
      <w:r w:rsidR="008A3BCB">
        <w:rPr>
          <w:rFonts w:cs="Times New Roman"/>
        </w:rPr>
        <w:t xml:space="preserve">environmental justice activism has tended to take the forms that it has. </w:t>
      </w:r>
      <w:r w:rsidR="00757F3A">
        <w:rPr>
          <w:rFonts w:cs="Times New Roman"/>
        </w:rPr>
        <w:t xml:space="preserve">How should legislators respond when epidemiologists insist that no causal links can be made between, say, oil refineries and </w:t>
      </w:r>
      <w:r w:rsidR="00062EAC">
        <w:rPr>
          <w:rFonts w:cs="Times New Roman"/>
        </w:rPr>
        <w:t xml:space="preserve">poor health </w:t>
      </w:r>
      <w:r w:rsidR="00757F3A">
        <w:rPr>
          <w:rFonts w:cs="Times New Roman"/>
        </w:rPr>
        <w:t>among nearby residents, yet</w:t>
      </w:r>
      <w:r w:rsidR="00734A34">
        <w:rPr>
          <w:rFonts w:cs="Times New Roman"/>
        </w:rPr>
        <w:t xml:space="preserve"> residents continue to tell stories of unusual maladies, </w:t>
      </w:r>
      <w:r w:rsidR="007C40CD">
        <w:rPr>
          <w:rFonts w:cs="Times New Roman"/>
        </w:rPr>
        <w:t>frequent health problems, and what seem like unusually high local cancer raters</w:t>
      </w:r>
      <w:r w:rsidR="00734A34">
        <w:rPr>
          <w:rFonts w:cs="Times New Roman"/>
        </w:rPr>
        <w:t>?</w:t>
      </w:r>
      <w:r w:rsidR="00EF621E">
        <w:rPr>
          <w:rFonts w:cs="Times New Roman"/>
        </w:rPr>
        <w:t xml:space="preserve"> What happens when those without power demand new approaches to defining which problems are legitimate and worthy of remediation?</w:t>
      </w:r>
    </w:p>
    <w:sectPr w:rsidR="00F04D53" w:rsidRPr="00F04D53" w:rsidSect="00AF79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01" w:rsidRDefault="00780001" w:rsidP="00CB7EC1">
      <w:r>
        <w:separator/>
      </w:r>
    </w:p>
  </w:endnote>
  <w:endnote w:type="continuationSeparator" w:id="0">
    <w:p w:rsidR="00780001" w:rsidRDefault="00780001" w:rsidP="00CB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01" w:rsidRDefault="00780001" w:rsidP="00CB7EC1">
      <w:r>
        <w:separator/>
      </w:r>
    </w:p>
  </w:footnote>
  <w:footnote w:type="continuationSeparator" w:id="0">
    <w:p w:rsidR="00780001" w:rsidRDefault="00780001" w:rsidP="00CB7EC1">
      <w:r>
        <w:continuationSeparator/>
      </w:r>
    </w:p>
  </w:footnote>
  <w:footnote w:id="1">
    <w:p w:rsidR="00CB7EC1" w:rsidRDefault="00CB7EC1">
      <w:pPr>
        <w:pStyle w:val="FootnoteText"/>
      </w:pPr>
      <w:r>
        <w:rPr>
          <w:rStyle w:val="FootnoteReference"/>
        </w:rPr>
        <w:footnoteRef/>
      </w:r>
      <w:r>
        <w:t xml:space="preserve"> As quoted in </w:t>
      </w:r>
      <w:r w:rsidRPr="00CB7EC1">
        <w:rPr>
          <w:rFonts w:cs="Times New Roman"/>
          <w:szCs w:val="24"/>
        </w:rPr>
        <w:t xml:space="preserve">Andrew Hurley, </w:t>
      </w:r>
      <w:r w:rsidRPr="00CB7EC1">
        <w:rPr>
          <w:rFonts w:cs="Times New Roman"/>
          <w:i/>
          <w:iCs/>
          <w:szCs w:val="24"/>
        </w:rPr>
        <w:t>Environmental Inequalities: Class, Race, and Industrial Pollution in Gary, Indiana, 1945-1980</w:t>
      </w:r>
      <w:r w:rsidRPr="00CB7EC1">
        <w:rPr>
          <w:rFonts w:cs="Times New Roman"/>
          <w:szCs w:val="24"/>
        </w:rPr>
        <w:t xml:space="preserve"> (Chapel Hill: University</w:t>
      </w:r>
      <w:r>
        <w:rPr>
          <w:rFonts w:cs="Times New Roman"/>
          <w:szCs w:val="24"/>
        </w:rPr>
        <w:t xml:space="preserve"> of North Carolina Press, 1995), 182.</w:t>
      </w:r>
    </w:p>
  </w:footnote>
  <w:footnote w:id="2">
    <w:p w:rsidR="00B04738" w:rsidRDefault="00B04738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B04738">
        <w:rPr>
          <w:rFonts w:cs="Times New Roman"/>
          <w:szCs w:val="24"/>
        </w:rPr>
        <w:t xml:space="preserve">Karl Jacoby, </w:t>
      </w:r>
      <w:r w:rsidRPr="00B04738">
        <w:rPr>
          <w:rFonts w:cs="Times New Roman"/>
          <w:i/>
          <w:iCs/>
          <w:szCs w:val="24"/>
        </w:rPr>
        <w:t>Crimes Against Nature: Squatters, Poachers, Thieves, and the Hidden History of American Conservation</w:t>
      </w:r>
      <w:r w:rsidRPr="00B04738">
        <w:rPr>
          <w:rFonts w:cs="Times New Roman"/>
          <w:szCs w:val="24"/>
        </w:rPr>
        <w:t xml:space="preserve"> (University of California Press, 2003)</w:t>
      </w:r>
      <w:r w:rsidR="00A11B7C">
        <w:rPr>
          <w:rFonts w:cs="Times New Roman"/>
          <w:szCs w:val="24"/>
        </w:rPr>
        <w:t xml:space="preserve">; and </w:t>
      </w:r>
      <w:r w:rsidR="00A11B7C" w:rsidRPr="00A11B7C">
        <w:rPr>
          <w:rFonts w:cs="Times New Roman"/>
          <w:szCs w:val="24"/>
        </w:rPr>
        <w:t xml:space="preserve">Mark David Spence, </w:t>
      </w:r>
      <w:r w:rsidR="00A11B7C" w:rsidRPr="00A11B7C">
        <w:rPr>
          <w:rFonts w:cs="Times New Roman"/>
          <w:i/>
          <w:iCs/>
          <w:szCs w:val="24"/>
        </w:rPr>
        <w:t>Dispossessing the Wilderness: Indian Removal and the Making of the National Parks</w:t>
      </w:r>
      <w:r w:rsidR="00A11B7C" w:rsidRPr="00A11B7C">
        <w:rPr>
          <w:rFonts w:cs="Times New Roman"/>
          <w:szCs w:val="24"/>
        </w:rPr>
        <w:t xml:space="preserve"> (Oxford University Press, 2000).</w:t>
      </w:r>
      <w:r>
        <w:rPr>
          <w:rFonts w:cs="Times New Roman"/>
          <w:szCs w:val="24"/>
        </w:rPr>
        <w:t xml:space="preserve"> For a more extended summary of </w:t>
      </w:r>
      <w:r w:rsidR="00A11B7C">
        <w:rPr>
          <w:rFonts w:cs="Times New Roman"/>
          <w:szCs w:val="24"/>
        </w:rPr>
        <w:t>these</w:t>
      </w:r>
      <w:r>
        <w:rPr>
          <w:rFonts w:cs="Times New Roman"/>
          <w:szCs w:val="24"/>
        </w:rPr>
        <w:t xml:space="preserve"> point</w:t>
      </w:r>
      <w:r w:rsidR="00A11B7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, see Wells, “The Early Conservation Movement,” </w:t>
      </w:r>
      <w:hyperlink r:id="rId1" w:history="1">
        <w:r w:rsidRPr="00B84F01">
          <w:rPr>
            <w:rStyle w:val="Hyperlink"/>
            <w:rFonts w:cs="Times New Roman"/>
            <w:szCs w:val="24"/>
          </w:rPr>
          <w:t>http://bit.ly/XOaIK0</w:t>
        </w:r>
      </w:hyperlink>
      <w:r>
        <w:rPr>
          <w:rFonts w:cs="Times New Roman"/>
          <w:szCs w:val="24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64"/>
    <w:rsid w:val="00062EAC"/>
    <w:rsid w:val="00073740"/>
    <w:rsid w:val="000B752C"/>
    <w:rsid w:val="000C1C0A"/>
    <w:rsid w:val="000E77DD"/>
    <w:rsid w:val="001943C2"/>
    <w:rsid w:val="002E4BEE"/>
    <w:rsid w:val="00305FE9"/>
    <w:rsid w:val="00323B0A"/>
    <w:rsid w:val="00355E31"/>
    <w:rsid w:val="003925D9"/>
    <w:rsid w:val="003A5018"/>
    <w:rsid w:val="0040121D"/>
    <w:rsid w:val="00422B07"/>
    <w:rsid w:val="00452FE2"/>
    <w:rsid w:val="00517F64"/>
    <w:rsid w:val="00565F78"/>
    <w:rsid w:val="005A5709"/>
    <w:rsid w:val="00641CD4"/>
    <w:rsid w:val="00643558"/>
    <w:rsid w:val="00646A50"/>
    <w:rsid w:val="00680F8A"/>
    <w:rsid w:val="006909D6"/>
    <w:rsid w:val="00692DFA"/>
    <w:rsid w:val="006C3BD0"/>
    <w:rsid w:val="00715E1A"/>
    <w:rsid w:val="00734A34"/>
    <w:rsid w:val="00757F3A"/>
    <w:rsid w:val="00773F3A"/>
    <w:rsid w:val="00780001"/>
    <w:rsid w:val="007C40CD"/>
    <w:rsid w:val="007D2F84"/>
    <w:rsid w:val="008A3BCB"/>
    <w:rsid w:val="0090052E"/>
    <w:rsid w:val="00903196"/>
    <w:rsid w:val="00905CB7"/>
    <w:rsid w:val="00931A5F"/>
    <w:rsid w:val="0093565A"/>
    <w:rsid w:val="00940325"/>
    <w:rsid w:val="00944093"/>
    <w:rsid w:val="009B649C"/>
    <w:rsid w:val="00A11B7C"/>
    <w:rsid w:val="00A546A3"/>
    <w:rsid w:val="00AF797E"/>
    <w:rsid w:val="00B04738"/>
    <w:rsid w:val="00B20160"/>
    <w:rsid w:val="00B61620"/>
    <w:rsid w:val="00B91267"/>
    <w:rsid w:val="00BC562C"/>
    <w:rsid w:val="00C41A8E"/>
    <w:rsid w:val="00CA0B5B"/>
    <w:rsid w:val="00CB7EC1"/>
    <w:rsid w:val="00CC42BB"/>
    <w:rsid w:val="00CD13C5"/>
    <w:rsid w:val="00CD6525"/>
    <w:rsid w:val="00D56A0B"/>
    <w:rsid w:val="00D674D1"/>
    <w:rsid w:val="00DB306E"/>
    <w:rsid w:val="00DF2540"/>
    <w:rsid w:val="00E018BA"/>
    <w:rsid w:val="00E05069"/>
    <w:rsid w:val="00E06B50"/>
    <w:rsid w:val="00E828A5"/>
    <w:rsid w:val="00EB786F"/>
    <w:rsid w:val="00EC445D"/>
    <w:rsid w:val="00EF621E"/>
    <w:rsid w:val="00F04D53"/>
    <w:rsid w:val="00F24F6D"/>
    <w:rsid w:val="00F6590F"/>
    <w:rsid w:val="00FA590E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D6"/>
  </w:style>
  <w:style w:type="paragraph" w:styleId="Heading1">
    <w:name w:val="heading 1"/>
    <w:basedOn w:val="Normal"/>
    <w:next w:val="Normal"/>
    <w:link w:val="Heading1Char"/>
    <w:uiPriority w:val="9"/>
    <w:qFormat/>
    <w:rsid w:val="00690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909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09D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nuscript"/>
    <w:uiPriority w:val="1"/>
    <w:qFormat/>
    <w:rsid w:val="006909D6"/>
    <w:pPr>
      <w:spacing w:line="480" w:lineRule="auto"/>
      <w:ind w:firstLine="720"/>
    </w:pPr>
  </w:style>
  <w:style w:type="character" w:customStyle="1" w:styleId="Heading1Char">
    <w:name w:val="Heading 1 Char"/>
    <w:basedOn w:val="DefaultParagraphFont"/>
    <w:link w:val="Heading1"/>
    <w:uiPriority w:val="9"/>
    <w:rsid w:val="0069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9D6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09D6"/>
    <w:rPr>
      <w:rFonts w:eastAsia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6909D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4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XOaI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78A33E-3831-482E-9383-880B165E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Wells</dc:creator>
  <cp:keywords/>
  <dc:description/>
  <cp:lastModifiedBy>Chris Wells</cp:lastModifiedBy>
  <cp:revision>56</cp:revision>
  <dcterms:created xsi:type="dcterms:W3CDTF">2013-03-15T15:21:00Z</dcterms:created>
  <dcterms:modified xsi:type="dcterms:W3CDTF">2013-03-15T16:44:00Z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id="3glKc6bk"/&gt;&lt;style id="http://www.zotero.org/styles/chicago-fullnote-bibliography" hasBibliography="1" bibliographyStyleHasBeenSet="0"/&gt;&lt;prefs&gt;&lt;pref name="fieldType" value="Field"/&gt;&lt;pref name="sto</vt:lpwstr>
  </property>
  <property fmtid="{D5CDD505-2E9C-101B-9397-08002B2CF9AE}" pid="3" name="ZOTERO_PREF_2">
    <vt:lpwstr>reReferences" value="true"/&gt;&lt;pref name="noteType" value="1"/&gt;&lt;/prefs&gt;&lt;/data&gt;</vt:lpwstr>
  </property>
</Properties>
</file>