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231" w14:textId="77777777" w:rsidR="00301BC4" w:rsidRPr="00301BC4" w:rsidRDefault="00301BC4" w:rsidP="00301BC4">
      <w:pPr>
        <w:spacing w:line="240" w:lineRule="auto"/>
        <w:rPr>
          <w:rFonts w:asciiTheme="minorHAnsi" w:hAnsiTheme="minorHAnsi"/>
          <w:b/>
        </w:rPr>
      </w:pPr>
      <w:r w:rsidRPr="00301BC4">
        <w:rPr>
          <w:rFonts w:asciiTheme="minorHAnsi" w:hAnsiTheme="minorHAnsi"/>
          <w:b/>
        </w:rPr>
        <w:t xml:space="preserve">The </w:t>
      </w:r>
      <w:r>
        <w:rPr>
          <w:rFonts w:asciiTheme="minorHAnsi" w:hAnsiTheme="minorHAnsi"/>
          <w:b/>
        </w:rPr>
        <w:t>l</w:t>
      </w:r>
      <w:r w:rsidRPr="00301BC4">
        <w:rPr>
          <w:rFonts w:asciiTheme="minorHAnsi" w:hAnsiTheme="minorHAnsi"/>
          <w:b/>
        </w:rPr>
        <w:t xml:space="preserve">earning </w:t>
      </w:r>
      <w:r>
        <w:rPr>
          <w:rFonts w:asciiTheme="minorHAnsi" w:hAnsiTheme="minorHAnsi"/>
          <w:b/>
        </w:rPr>
        <w:t>g</w:t>
      </w:r>
      <w:r w:rsidRPr="00301BC4">
        <w:rPr>
          <w:rFonts w:asciiTheme="minorHAnsi" w:hAnsiTheme="minorHAnsi"/>
          <w:b/>
        </w:rPr>
        <w:t>oals for this activity are to:</w:t>
      </w:r>
    </w:p>
    <w:p w14:paraId="70AED2A7" w14:textId="77777777" w:rsidR="00301BC4" w:rsidRPr="00301BC4" w:rsidRDefault="00301BC4" w:rsidP="00301BC4">
      <w:pPr>
        <w:numPr>
          <w:ilvl w:val="0"/>
          <w:numId w:val="1"/>
        </w:numPr>
        <w:spacing w:line="240" w:lineRule="auto"/>
        <w:rPr>
          <w:rFonts w:asciiTheme="minorHAnsi" w:eastAsia="Times New Roman" w:hAnsiTheme="minorHAnsi" w:cs="Times New Roman"/>
        </w:rPr>
      </w:pPr>
      <w:r w:rsidRPr="00301BC4">
        <w:rPr>
          <w:rFonts w:asciiTheme="minorHAnsi" w:eastAsia="Times New Roman" w:hAnsiTheme="minorHAnsi" w:cs="Times New Roman"/>
        </w:rPr>
        <w:t>Use qualitative and quantitative information to assess risk due to geological hazards associated with plate boundaries.</w:t>
      </w:r>
    </w:p>
    <w:p w14:paraId="7DD43AFD" w14:textId="77777777" w:rsidR="00301BC4" w:rsidRPr="00301BC4" w:rsidRDefault="00301BC4" w:rsidP="00301BC4">
      <w:pPr>
        <w:numPr>
          <w:ilvl w:val="0"/>
          <w:numId w:val="1"/>
        </w:numPr>
        <w:spacing w:line="240" w:lineRule="auto"/>
        <w:rPr>
          <w:rFonts w:asciiTheme="minorHAnsi" w:eastAsia="Times New Roman" w:hAnsiTheme="minorHAnsi" w:cs="Times New Roman"/>
        </w:rPr>
      </w:pPr>
      <w:r w:rsidRPr="00301BC4">
        <w:rPr>
          <w:rFonts w:asciiTheme="minorHAnsi" w:eastAsia="Times New Roman" w:hAnsiTheme="minorHAnsi" w:cs="Times New Roman"/>
        </w:rPr>
        <w:t xml:space="preserve">Develop strategies to mitigate risk </w:t>
      </w:r>
      <w:r>
        <w:rPr>
          <w:rFonts w:asciiTheme="minorHAnsi" w:eastAsia="Times New Roman" w:hAnsiTheme="minorHAnsi" w:cs="Times New Roman"/>
        </w:rPr>
        <w:t>associated with</w:t>
      </w:r>
      <w:r w:rsidRPr="00301BC4">
        <w:rPr>
          <w:rFonts w:asciiTheme="minorHAnsi" w:eastAsia="Times New Roman" w:hAnsiTheme="minorHAnsi" w:cs="Times New Roman"/>
        </w:rPr>
        <w:t xml:space="preserve"> geological hazards.</w:t>
      </w:r>
    </w:p>
    <w:p w14:paraId="51E7F285" w14:textId="77777777" w:rsidR="00301BC4" w:rsidRPr="00301BC4" w:rsidRDefault="00301BC4" w:rsidP="00FC7469">
      <w:pPr>
        <w:spacing w:line="240" w:lineRule="auto"/>
        <w:rPr>
          <w:rFonts w:asciiTheme="minorHAnsi" w:hAnsiTheme="minorHAnsi"/>
          <w:b/>
        </w:rPr>
      </w:pPr>
    </w:p>
    <w:p w14:paraId="4A4FC6D6" w14:textId="77777777" w:rsidR="00FC7469" w:rsidRDefault="00E3729E" w:rsidP="00FC7469">
      <w:pPr>
        <w:spacing w:line="240" w:lineRule="auto"/>
      </w:pPr>
      <w:r>
        <w:rPr>
          <w:b/>
        </w:rPr>
        <w:t>I. Geologic Monitoring</w:t>
      </w:r>
      <w:r w:rsidR="00FC7469">
        <w:rPr>
          <w:b/>
        </w:rPr>
        <w:t xml:space="preserve"> Updates</w:t>
      </w:r>
      <w:r w:rsidR="00E62D88">
        <w:rPr>
          <w:b/>
        </w:rPr>
        <w:t xml:space="preserve">: </w:t>
      </w:r>
      <w:r w:rsidR="00FC7469">
        <w:t>Experts in each data type (seismology, gas geochemistry, tilt) need to disperse into new teams assigned for several important Geographic Monitoring Sit</w:t>
      </w:r>
      <w:r w:rsidR="003F6571">
        <w:t>es around Mount</w:t>
      </w:r>
      <w:r w:rsidR="00FC7469">
        <w:t xml:space="preserve"> Rainier.</w:t>
      </w:r>
    </w:p>
    <w:p w14:paraId="718BD682" w14:textId="77777777" w:rsidR="00FC7469" w:rsidRPr="00733964" w:rsidRDefault="00FC7469" w:rsidP="00FC7469">
      <w:pPr>
        <w:spacing w:line="240" w:lineRule="auto"/>
        <w:rPr>
          <w:color w:val="FF0000"/>
          <w:u w:val="single"/>
        </w:rPr>
      </w:pPr>
      <w:r>
        <w:t xml:space="preserve">1. Give the name of your </w:t>
      </w:r>
      <w:r w:rsidRPr="004F1331">
        <w:rPr>
          <w:b/>
        </w:rPr>
        <w:t>Geographic Monitoring Site</w:t>
      </w:r>
      <w:r>
        <w:t xml:space="preserve">: </w:t>
      </w:r>
      <w:r>
        <w:rPr>
          <w:u w:val="single"/>
        </w:rPr>
        <w:tab/>
      </w:r>
      <w:r>
        <w:rPr>
          <w:u w:val="single"/>
        </w:rPr>
        <w:tab/>
      </w:r>
      <w:r>
        <w:rPr>
          <w:u w:val="single"/>
        </w:rPr>
        <w:tab/>
      </w:r>
      <w:r>
        <w:rPr>
          <w:u w:val="single"/>
        </w:rPr>
        <w:tab/>
      </w:r>
      <w:r>
        <w:rPr>
          <w:u w:val="single"/>
        </w:rPr>
        <w:tab/>
      </w:r>
    </w:p>
    <w:p w14:paraId="1CB1201B" w14:textId="77777777" w:rsidR="00D734F8" w:rsidRDefault="00FC7469" w:rsidP="00FC7469">
      <w:pPr>
        <w:spacing w:line="240" w:lineRule="auto"/>
      </w:pPr>
      <w:r>
        <w:t>2. In your group, share the</w:t>
      </w:r>
      <w:r w:rsidR="00163A8C" w:rsidRPr="00931D90">
        <w:t xml:space="preserve"> observations</w:t>
      </w:r>
      <w:r>
        <w:t xml:space="preserve"> and interpretations of </w:t>
      </w:r>
      <w:r w:rsidR="00163A8C" w:rsidRPr="00931D90">
        <w:t>previous</w:t>
      </w:r>
      <w:r>
        <w:t xml:space="preserve"> and</w:t>
      </w:r>
      <w:r w:rsidR="00163A8C" w:rsidRPr="00931D90">
        <w:t xml:space="preserve"> new </w:t>
      </w:r>
      <w:r>
        <w:t xml:space="preserve">geologic monitoring data. Record your observations and interpretations in a report (table below) </w:t>
      </w:r>
      <w:r w:rsidR="00E3729E">
        <w:t>to provide disaster management o</w:t>
      </w:r>
      <w:r w:rsidR="00E62D88" w:rsidRPr="00931D90">
        <w:t>fficials</w:t>
      </w:r>
      <w:r w:rsidR="003F6571">
        <w:t xml:space="preserve"> with</w:t>
      </w:r>
      <w:r w:rsidR="00E62D88" w:rsidRPr="00931D90">
        <w:t xml:space="preserve"> </w:t>
      </w:r>
      <w:r>
        <w:t>information on t</w:t>
      </w:r>
      <w:r w:rsidR="00AC2EEE">
        <w:t>he current state of volcanic activity</w:t>
      </w:r>
      <w:r w:rsidR="00E62D88" w:rsidRPr="00931D90">
        <w:t xml:space="preserve">. </w:t>
      </w:r>
      <w:r w:rsidR="00733964">
        <w:t xml:space="preserve">Be sure that everyone in your group understands how to interpret all data types. </w:t>
      </w:r>
    </w:p>
    <w:tbl>
      <w:tblPr>
        <w:tblStyle w:val="TableGrid"/>
        <w:tblW w:w="0" w:type="auto"/>
        <w:tblLook w:val="04A0" w:firstRow="1" w:lastRow="0" w:firstColumn="1" w:lastColumn="0" w:noHBand="0" w:noVBand="1"/>
      </w:tblPr>
      <w:tblGrid>
        <w:gridCol w:w="4068"/>
        <w:gridCol w:w="4410"/>
        <w:gridCol w:w="4680"/>
      </w:tblGrid>
      <w:tr w:rsidR="0015574A" w14:paraId="52CF68FC" w14:textId="77777777" w:rsidTr="00E978C4">
        <w:tc>
          <w:tcPr>
            <w:tcW w:w="4068" w:type="dxa"/>
          </w:tcPr>
          <w:p w14:paraId="52296E6B" w14:textId="77777777" w:rsidR="0015574A" w:rsidRPr="00733964" w:rsidRDefault="0015574A" w:rsidP="00FC7469">
            <w:pPr>
              <w:rPr>
                <w:b/>
              </w:rPr>
            </w:pPr>
            <w:r w:rsidRPr="00733964">
              <w:rPr>
                <w:b/>
              </w:rPr>
              <w:t>Seismic</w:t>
            </w:r>
          </w:p>
        </w:tc>
        <w:tc>
          <w:tcPr>
            <w:tcW w:w="4410" w:type="dxa"/>
          </w:tcPr>
          <w:p w14:paraId="1A7DEB12" w14:textId="77777777" w:rsidR="0015574A" w:rsidRPr="00733964" w:rsidRDefault="0015574A" w:rsidP="00FC7469">
            <w:pPr>
              <w:rPr>
                <w:b/>
              </w:rPr>
            </w:pPr>
            <w:r w:rsidRPr="00733964">
              <w:rPr>
                <w:b/>
              </w:rPr>
              <w:t>Gas</w:t>
            </w:r>
            <w:r w:rsidR="005E7307">
              <w:rPr>
                <w:b/>
              </w:rPr>
              <w:t>, Fumaroles, Ash</w:t>
            </w:r>
          </w:p>
        </w:tc>
        <w:tc>
          <w:tcPr>
            <w:tcW w:w="4680" w:type="dxa"/>
          </w:tcPr>
          <w:p w14:paraId="6BAFD01A" w14:textId="77777777" w:rsidR="0015574A" w:rsidRPr="00733964" w:rsidRDefault="0015574A" w:rsidP="00FC7469">
            <w:pPr>
              <w:rPr>
                <w:b/>
              </w:rPr>
            </w:pPr>
            <w:r w:rsidRPr="00733964">
              <w:rPr>
                <w:b/>
              </w:rPr>
              <w:t>Tilt</w:t>
            </w:r>
          </w:p>
        </w:tc>
      </w:tr>
      <w:tr w:rsidR="0015574A" w14:paraId="5955ABDD" w14:textId="77777777" w:rsidTr="00E978C4">
        <w:trPr>
          <w:trHeight w:val="2330"/>
        </w:trPr>
        <w:tc>
          <w:tcPr>
            <w:tcW w:w="4068" w:type="dxa"/>
          </w:tcPr>
          <w:p w14:paraId="79FB68FB" w14:textId="77777777" w:rsidR="00733964" w:rsidRDefault="008A7877" w:rsidP="00FC7469">
            <w:pPr>
              <w:rPr>
                <w:b/>
              </w:rPr>
            </w:pPr>
            <w:r w:rsidRPr="00733964">
              <w:rPr>
                <w:b/>
              </w:rPr>
              <w:t xml:space="preserve">Observations: </w:t>
            </w:r>
          </w:p>
          <w:p w14:paraId="3CF7526E" w14:textId="77777777" w:rsidR="0015574A" w:rsidRPr="00733964" w:rsidRDefault="0015574A" w:rsidP="002E55D6">
            <w:pPr>
              <w:rPr>
                <w:b/>
              </w:rPr>
            </w:pPr>
          </w:p>
        </w:tc>
        <w:tc>
          <w:tcPr>
            <w:tcW w:w="4410" w:type="dxa"/>
          </w:tcPr>
          <w:p w14:paraId="77221981" w14:textId="77777777" w:rsidR="00733964" w:rsidRDefault="00733964" w:rsidP="00FC7469">
            <w:pPr>
              <w:rPr>
                <w:b/>
              </w:rPr>
            </w:pPr>
            <w:r w:rsidRPr="00733964">
              <w:rPr>
                <w:b/>
              </w:rPr>
              <w:t xml:space="preserve">Observations: </w:t>
            </w:r>
          </w:p>
          <w:p w14:paraId="72395801" w14:textId="77777777" w:rsidR="00733964" w:rsidRDefault="00733964" w:rsidP="00FC7469">
            <w:pPr>
              <w:rPr>
                <w:b/>
              </w:rPr>
            </w:pPr>
          </w:p>
          <w:p w14:paraId="1CF21F2B" w14:textId="77777777" w:rsidR="0015574A" w:rsidRPr="00733964" w:rsidRDefault="0015574A" w:rsidP="00FC7469">
            <w:pPr>
              <w:rPr>
                <w:b/>
              </w:rPr>
            </w:pPr>
          </w:p>
        </w:tc>
        <w:tc>
          <w:tcPr>
            <w:tcW w:w="4680" w:type="dxa"/>
          </w:tcPr>
          <w:p w14:paraId="0FA27164" w14:textId="77777777" w:rsidR="00733964" w:rsidRDefault="00733964" w:rsidP="00FC7469">
            <w:pPr>
              <w:rPr>
                <w:b/>
              </w:rPr>
            </w:pPr>
            <w:r w:rsidRPr="00733964">
              <w:rPr>
                <w:b/>
              </w:rPr>
              <w:t xml:space="preserve">Observations: </w:t>
            </w:r>
          </w:p>
          <w:p w14:paraId="65E4C8B7" w14:textId="77777777" w:rsidR="00733964" w:rsidRDefault="00733964" w:rsidP="00FC7469">
            <w:pPr>
              <w:rPr>
                <w:b/>
              </w:rPr>
            </w:pPr>
          </w:p>
          <w:p w14:paraId="14F507F3" w14:textId="77777777" w:rsidR="00733964" w:rsidRDefault="00733964" w:rsidP="00FC7469">
            <w:pPr>
              <w:rPr>
                <w:b/>
              </w:rPr>
            </w:pPr>
          </w:p>
          <w:p w14:paraId="173EA53C" w14:textId="77777777" w:rsidR="001725F9" w:rsidRPr="00733964" w:rsidRDefault="001725F9" w:rsidP="00FC7469">
            <w:pPr>
              <w:rPr>
                <w:b/>
              </w:rPr>
            </w:pPr>
          </w:p>
        </w:tc>
      </w:tr>
      <w:tr w:rsidR="00733964" w14:paraId="0350AA94" w14:textId="77777777" w:rsidTr="00E978C4">
        <w:tc>
          <w:tcPr>
            <w:tcW w:w="4068" w:type="dxa"/>
          </w:tcPr>
          <w:p w14:paraId="46AF188C" w14:textId="77777777" w:rsidR="00733964" w:rsidRDefault="00733964" w:rsidP="00FC7469">
            <w:pPr>
              <w:rPr>
                <w:b/>
              </w:rPr>
            </w:pPr>
            <w:r>
              <w:rPr>
                <w:b/>
              </w:rPr>
              <w:t xml:space="preserve">Interpretations: </w:t>
            </w:r>
          </w:p>
          <w:p w14:paraId="464D95D7" w14:textId="77777777" w:rsidR="00733964" w:rsidRPr="00733964" w:rsidRDefault="00733964" w:rsidP="002E55D6">
            <w:pPr>
              <w:rPr>
                <w:b/>
              </w:rPr>
            </w:pPr>
          </w:p>
        </w:tc>
        <w:tc>
          <w:tcPr>
            <w:tcW w:w="4410" w:type="dxa"/>
          </w:tcPr>
          <w:p w14:paraId="297A30EC" w14:textId="77777777" w:rsidR="00733964" w:rsidRDefault="00733964" w:rsidP="00FC7469">
            <w:pPr>
              <w:rPr>
                <w:b/>
              </w:rPr>
            </w:pPr>
            <w:r>
              <w:rPr>
                <w:b/>
              </w:rPr>
              <w:t xml:space="preserve">Interpretations: </w:t>
            </w:r>
          </w:p>
          <w:p w14:paraId="4FB3A314" w14:textId="77777777" w:rsidR="00733964" w:rsidRDefault="00733964" w:rsidP="00FC7469">
            <w:pPr>
              <w:rPr>
                <w:b/>
              </w:rPr>
            </w:pPr>
          </w:p>
          <w:p w14:paraId="39840BD6" w14:textId="77777777" w:rsidR="00733964" w:rsidRPr="00733964" w:rsidRDefault="00733964" w:rsidP="00FC7469">
            <w:pPr>
              <w:rPr>
                <w:b/>
              </w:rPr>
            </w:pPr>
          </w:p>
          <w:p w14:paraId="19C6D4DB" w14:textId="77777777" w:rsidR="00733964" w:rsidRPr="00733964" w:rsidRDefault="00733964" w:rsidP="00FC7469">
            <w:pPr>
              <w:rPr>
                <w:b/>
              </w:rPr>
            </w:pPr>
          </w:p>
        </w:tc>
        <w:tc>
          <w:tcPr>
            <w:tcW w:w="4680" w:type="dxa"/>
          </w:tcPr>
          <w:p w14:paraId="7BE08D4D" w14:textId="77777777" w:rsidR="00733964" w:rsidRDefault="00733964" w:rsidP="00FC7469">
            <w:pPr>
              <w:rPr>
                <w:b/>
              </w:rPr>
            </w:pPr>
            <w:r>
              <w:rPr>
                <w:b/>
              </w:rPr>
              <w:t xml:space="preserve">Interpretations: </w:t>
            </w:r>
          </w:p>
          <w:p w14:paraId="7099C891" w14:textId="77777777" w:rsidR="00E978C4" w:rsidRDefault="00E978C4" w:rsidP="00FC7469">
            <w:pPr>
              <w:rPr>
                <w:b/>
              </w:rPr>
            </w:pPr>
          </w:p>
          <w:p w14:paraId="56B05DC8" w14:textId="77777777" w:rsidR="00733964" w:rsidRDefault="00733964" w:rsidP="00FC7469">
            <w:pPr>
              <w:rPr>
                <w:b/>
              </w:rPr>
            </w:pPr>
          </w:p>
          <w:p w14:paraId="470AAC47" w14:textId="77777777" w:rsidR="00733964" w:rsidRPr="00733964" w:rsidRDefault="00733964" w:rsidP="00FC7469">
            <w:pPr>
              <w:rPr>
                <w:b/>
              </w:rPr>
            </w:pPr>
          </w:p>
          <w:p w14:paraId="7F800BD6" w14:textId="77777777" w:rsidR="00733964" w:rsidRDefault="00733964" w:rsidP="00FC7469">
            <w:pPr>
              <w:rPr>
                <w:b/>
              </w:rPr>
            </w:pPr>
          </w:p>
          <w:p w14:paraId="6E530E18" w14:textId="77777777" w:rsidR="00733964" w:rsidRPr="00733964" w:rsidRDefault="00733964" w:rsidP="00FC7469">
            <w:pPr>
              <w:rPr>
                <w:b/>
              </w:rPr>
            </w:pPr>
          </w:p>
        </w:tc>
      </w:tr>
    </w:tbl>
    <w:p w14:paraId="48ACACFB" w14:textId="77777777" w:rsidR="00063D8E" w:rsidRDefault="00733964" w:rsidP="00FC7469">
      <w:pPr>
        <w:tabs>
          <w:tab w:val="left" w:pos="1380"/>
        </w:tabs>
        <w:spacing w:line="240" w:lineRule="auto"/>
      </w:pPr>
      <w:r>
        <w:t>3.  As a group, determine an updated Alert Level for the volcano. Provide evidence for your update (remember an update can be to move the alert level up, down, or to keep it at the same alert level, you just need to justify your decision). The</w:t>
      </w:r>
      <w:r w:rsidR="00063D8E">
        <w:t xml:space="preserve"> USGS Alert Levels </w:t>
      </w:r>
      <w:r>
        <w:t xml:space="preserve">are provided on the last page of new data distributed today. </w:t>
      </w:r>
    </w:p>
    <w:p w14:paraId="23750263" w14:textId="77777777" w:rsidR="00FC7469" w:rsidRDefault="00FC7469" w:rsidP="00FC7469">
      <w:pPr>
        <w:spacing w:line="240" w:lineRule="auto"/>
      </w:pPr>
    </w:p>
    <w:p w14:paraId="5AE95B57" w14:textId="77777777" w:rsidR="00E926E4" w:rsidRDefault="00E926E4" w:rsidP="00FC7469">
      <w:pPr>
        <w:spacing w:line="240" w:lineRule="auto"/>
      </w:pPr>
    </w:p>
    <w:p w14:paraId="45620E78" w14:textId="77777777" w:rsidR="00FC7469" w:rsidRDefault="00FC7469" w:rsidP="00FC7469">
      <w:pPr>
        <w:spacing w:line="240" w:lineRule="auto"/>
      </w:pPr>
    </w:p>
    <w:p w14:paraId="5DD1E0B7" w14:textId="77777777" w:rsidR="00FC7469" w:rsidRDefault="00FC7469" w:rsidP="00FC7469">
      <w:pPr>
        <w:spacing w:line="240" w:lineRule="auto"/>
      </w:pPr>
    </w:p>
    <w:p w14:paraId="57A6C57D" w14:textId="77777777" w:rsidR="00FC7469" w:rsidRDefault="00FC7469" w:rsidP="00FC7469">
      <w:pPr>
        <w:spacing w:line="240" w:lineRule="auto"/>
      </w:pPr>
    </w:p>
    <w:p w14:paraId="33F333AA" w14:textId="77777777" w:rsidR="00301BC4" w:rsidRDefault="00301BC4" w:rsidP="00FC7469">
      <w:pPr>
        <w:spacing w:line="240" w:lineRule="auto"/>
      </w:pPr>
    </w:p>
    <w:p w14:paraId="1411BFC7" w14:textId="77777777" w:rsidR="009D33CB" w:rsidRPr="004F1331" w:rsidRDefault="00FC7469" w:rsidP="00FC7469">
      <w:pPr>
        <w:spacing w:line="240" w:lineRule="auto"/>
        <w:rPr>
          <w:u w:val="single"/>
        </w:rPr>
      </w:pPr>
      <w:r>
        <w:lastRenderedPageBreak/>
        <w:t xml:space="preserve">4. Use the USGS Geologic Hazard Map (in </w:t>
      </w:r>
      <w:r w:rsidR="00301BC4">
        <w:t>G</w:t>
      </w:r>
      <w:r>
        <w:t xml:space="preserve">eologic </w:t>
      </w:r>
      <w:r w:rsidR="00301BC4">
        <w:t>D</w:t>
      </w:r>
      <w:r>
        <w:t xml:space="preserve">ata </w:t>
      </w:r>
      <w:r w:rsidR="00301BC4">
        <w:t>S</w:t>
      </w:r>
      <w:r>
        <w:t xml:space="preserve">et </w:t>
      </w:r>
      <w:r w:rsidR="004F1331">
        <w:t>3</w:t>
      </w:r>
      <w:r>
        <w:t xml:space="preserve">) to </w:t>
      </w:r>
      <w:r w:rsidR="004F1331">
        <w:t>identify</w:t>
      </w:r>
      <w:r>
        <w:t xml:space="preserve"> the greatest </w:t>
      </w:r>
      <w:r w:rsidR="001C5497">
        <w:t>hazard to your geographic site</w:t>
      </w:r>
      <w:r w:rsidR="00E926E4">
        <w:t xml:space="preserve">: </w:t>
      </w:r>
      <w:r w:rsidR="004F1331">
        <w:rPr>
          <w:u w:val="single"/>
        </w:rPr>
        <w:tab/>
      </w:r>
      <w:r w:rsidR="004F1331">
        <w:rPr>
          <w:u w:val="single"/>
        </w:rPr>
        <w:tab/>
      </w:r>
      <w:r w:rsidR="004F1331">
        <w:rPr>
          <w:u w:val="single"/>
        </w:rPr>
        <w:tab/>
      </w:r>
      <w:r w:rsidR="004F1331">
        <w:rPr>
          <w:u w:val="single"/>
        </w:rPr>
        <w:tab/>
      </w:r>
    </w:p>
    <w:p w14:paraId="07F6DF8E" w14:textId="77777777" w:rsidR="001C5497" w:rsidRPr="00301BC4" w:rsidRDefault="001C5497" w:rsidP="00FC7469">
      <w:pPr>
        <w:spacing w:line="240" w:lineRule="auto"/>
        <w:rPr>
          <w:color w:val="FF0000"/>
          <w:sz w:val="18"/>
        </w:rPr>
      </w:pPr>
    </w:p>
    <w:p w14:paraId="24EB0F26" w14:textId="77777777" w:rsidR="009D33CB" w:rsidRPr="00802D7C" w:rsidRDefault="00FC7469" w:rsidP="00FC7469">
      <w:pPr>
        <w:spacing w:line="240" w:lineRule="auto"/>
      </w:pPr>
      <w:r>
        <w:rPr>
          <w:b/>
        </w:rPr>
        <w:t xml:space="preserve">II. </w:t>
      </w:r>
      <w:r w:rsidR="009D33CB">
        <w:rPr>
          <w:b/>
        </w:rPr>
        <w:t>Vulnerability Assessment</w:t>
      </w:r>
      <w:r w:rsidR="003F6571">
        <w:rPr>
          <w:b/>
        </w:rPr>
        <w:t>:</w:t>
      </w:r>
      <w:r w:rsidR="00E3729E">
        <w:rPr>
          <w:b/>
        </w:rPr>
        <w:t xml:space="preserve"> </w:t>
      </w:r>
      <w:r w:rsidR="003F6571">
        <w:t>Given the activity at Mount</w:t>
      </w:r>
      <w:r>
        <w:t xml:space="preserve"> Rainier, d</w:t>
      </w:r>
      <w:r w:rsidR="00E3729E">
        <w:t>isaster manag</w:t>
      </w:r>
      <w:r>
        <w:t>ement officials</w:t>
      </w:r>
      <w:r w:rsidR="00E3729E">
        <w:t xml:space="preserve"> need to be able to compare </w:t>
      </w:r>
      <w:r>
        <w:t>the hazards and vulnerability of</w:t>
      </w:r>
      <w:r w:rsidR="003F6571">
        <w:t xml:space="preserve"> sites around Mount Rainier. A</w:t>
      </w:r>
      <w:r w:rsidR="004F1331">
        <w:t>s a</w:t>
      </w:r>
      <w:r>
        <w:t xml:space="preserve"> geographic</w:t>
      </w:r>
      <w:r w:rsidR="004F1331">
        <w:t xml:space="preserve"> monitoring group, you </w:t>
      </w:r>
      <w:r w:rsidR="00E3729E">
        <w:t xml:space="preserve">need to use the same criteria to assess </w:t>
      </w:r>
      <w:r w:rsidR="004F1331">
        <w:t>your</w:t>
      </w:r>
      <w:r w:rsidR="00E3729E">
        <w:t xml:space="preserve"> sites, which can be compiled in the table below</w:t>
      </w:r>
      <w:r w:rsidR="004F1331">
        <w:t>.</w:t>
      </w:r>
      <w:r w:rsidR="00802D7C">
        <w:t xml:space="preserve"> Note that you are assessing </w:t>
      </w:r>
      <w:r w:rsidR="00802D7C">
        <w:rPr>
          <w:i/>
        </w:rPr>
        <w:t>vulnerability</w:t>
      </w:r>
      <w:r w:rsidR="00802D7C">
        <w:t xml:space="preserve"> to hazards, not </w:t>
      </w:r>
      <w:r w:rsidR="00802D7C">
        <w:rPr>
          <w:i/>
        </w:rPr>
        <w:t>risk</w:t>
      </w:r>
      <w:r w:rsidR="00802D7C">
        <w:t xml:space="preserve"> (hazard x vulnerability x value).</w:t>
      </w:r>
    </w:p>
    <w:p w14:paraId="68B0DFFF" w14:textId="77777777" w:rsidR="009D33CB" w:rsidRDefault="009D33CB" w:rsidP="00FC7469">
      <w:pPr>
        <w:spacing w:line="240" w:lineRule="auto"/>
      </w:pPr>
      <w:r>
        <w:t xml:space="preserve">5. </w:t>
      </w:r>
      <w:r w:rsidR="00301BC4">
        <w:rPr>
          <w:b/>
        </w:rPr>
        <w:t xml:space="preserve">Vulnerability Characteristics: </w:t>
      </w:r>
      <w:r w:rsidR="00FC7469">
        <w:t>Given the most important hazard at your site, d</w:t>
      </w:r>
      <w:r w:rsidR="00E3729E">
        <w:t xml:space="preserve">escribe </w:t>
      </w:r>
      <w:r w:rsidR="00FC7469">
        <w:t xml:space="preserve">the </w:t>
      </w:r>
      <w:r w:rsidR="00802D7C">
        <w:t xml:space="preserve">geological, geographic, and topographic </w:t>
      </w:r>
      <w:r w:rsidR="00E3729E">
        <w:t xml:space="preserve">characteristics of areas with </w:t>
      </w:r>
      <w:r>
        <w:t xml:space="preserve">high, moderate, and low vulnerability for </w:t>
      </w:r>
      <w:r w:rsidR="004F1331">
        <w:t>each hazard (see example provided)</w:t>
      </w:r>
      <w:r w:rsidR="003F6571">
        <w:t>.</w:t>
      </w:r>
      <w:bookmarkStart w:id="0" w:name="_GoBack"/>
      <w:bookmarkEnd w:id="0"/>
    </w:p>
    <w:p w14:paraId="648E2681" w14:textId="77777777" w:rsidR="009D33CB" w:rsidRDefault="009D33CB" w:rsidP="00FC7469">
      <w:pPr>
        <w:spacing w:line="240" w:lineRule="auto"/>
        <w:rPr>
          <w:b/>
        </w:rPr>
      </w:pPr>
      <w:r>
        <w:t xml:space="preserve">6. With input from </w:t>
      </w:r>
      <w:r w:rsidR="00FC7469">
        <w:t>all site groups,</w:t>
      </w:r>
      <w:r>
        <w:t xml:space="preserve"> compile a consistent set of criterion to describe the Vulnerability Characteristics for each hazard (your instructor will guide this discussion).</w:t>
      </w:r>
      <w:r w:rsidR="001C5497">
        <w:t xml:space="preserve"> </w:t>
      </w:r>
    </w:p>
    <w:tbl>
      <w:tblPr>
        <w:tblStyle w:val="TableGrid"/>
        <w:tblW w:w="13860" w:type="dxa"/>
        <w:tblInd w:w="-162" w:type="dxa"/>
        <w:tblLook w:val="04A0" w:firstRow="1" w:lastRow="0" w:firstColumn="1" w:lastColumn="0" w:noHBand="0" w:noVBand="1"/>
      </w:tblPr>
      <w:tblGrid>
        <w:gridCol w:w="1174"/>
        <w:gridCol w:w="2966"/>
        <w:gridCol w:w="3060"/>
        <w:gridCol w:w="3330"/>
        <w:gridCol w:w="1440"/>
        <w:gridCol w:w="1890"/>
      </w:tblGrid>
      <w:tr w:rsidR="009D33CB" w:rsidRPr="00950995" w14:paraId="3C05E3D3" w14:textId="77777777" w:rsidTr="00301BC4">
        <w:tc>
          <w:tcPr>
            <w:tcW w:w="1174" w:type="dxa"/>
            <w:vAlign w:val="center"/>
          </w:tcPr>
          <w:p w14:paraId="3C682025" w14:textId="77777777" w:rsidR="009D33CB" w:rsidRDefault="009D33CB" w:rsidP="00FC7469">
            <w:pPr>
              <w:jc w:val="center"/>
              <w:rPr>
                <w:b/>
              </w:rPr>
            </w:pPr>
            <w:r>
              <w:rPr>
                <w:b/>
              </w:rPr>
              <w:t>Impacts:</w:t>
            </w:r>
          </w:p>
          <w:p w14:paraId="01A5F9E5" w14:textId="77777777" w:rsidR="009D33CB" w:rsidRPr="00DD65ED" w:rsidRDefault="009D33CB" w:rsidP="00FC7469">
            <w:pPr>
              <w:jc w:val="center"/>
              <w:rPr>
                <w:b/>
                <w:i/>
              </w:rPr>
            </w:pPr>
            <w:r w:rsidRPr="00DD65ED">
              <w:rPr>
                <w:b/>
                <w:i/>
              </w:rPr>
              <w:t>Hazards:</w:t>
            </w:r>
          </w:p>
        </w:tc>
        <w:tc>
          <w:tcPr>
            <w:tcW w:w="2966" w:type="dxa"/>
            <w:vAlign w:val="center"/>
          </w:tcPr>
          <w:p w14:paraId="5770807C" w14:textId="77777777" w:rsidR="009D33CB" w:rsidRPr="00EF1DB5" w:rsidRDefault="009D33CB" w:rsidP="00FC7469">
            <w:pPr>
              <w:jc w:val="center"/>
              <w:rPr>
                <w:b/>
              </w:rPr>
            </w:pPr>
            <w:r w:rsidRPr="00950995">
              <w:rPr>
                <w:b/>
              </w:rPr>
              <w:t xml:space="preserve">Characteristics of </w:t>
            </w:r>
            <w:r>
              <w:rPr>
                <w:b/>
                <w:i/>
              </w:rPr>
              <w:t>high vulnerability</w:t>
            </w:r>
            <w:r>
              <w:rPr>
                <w:b/>
              </w:rPr>
              <w:t xml:space="preserve"> locations</w:t>
            </w:r>
          </w:p>
        </w:tc>
        <w:tc>
          <w:tcPr>
            <w:tcW w:w="3060" w:type="dxa"/>
            <w:vAlign w:val="center"/>
          </w:tcPr>
          <w:p w14:paraId="11FDFB07" w14:textId="77777777" w:rsidR="009D33CB" w:rsidRPr="00EF1DB5" w:rsidRDefault="009D33CB" w:rsidP="00FC7469">
            <w:pPr>
              <w:jc w:val="center"/>
              <w:rPr>
                <w:b/>
              </w:rPr>
            </w:pPr>
            <w:r w:rsidRPr="00950995">
              <w:rPr>
                <w:b/>
              </w:rPr>
              <w:t xml:space="preserve">Characteristics of </w:t>
            </w:r>
            <w:r>
              <w:rPr>
                <w:b/>
                <w:i/>
              </w:rPr>
              <w:t>moderate vulnerability</w:t>
            </w:r>
            <w:r>
              <w:rPr>
                <w:b/>
              </w:rPr>
              <w:t xml:space="preserve"> locations</w:t>
            </w:r>
          </w:p>
        </w:tc>
        <w:tc>
          <w:tcPr>
            <w:tcW w:w="3330" w:type="dxa"/>
            <w:vAlign w:val="center"/>
          </w:tcPr>
          <w:p w14:paraId="579402A6" w14:textId="77777777" w:rsidR="009D33CB" w:rsidRPr="00EF1DB5" w:rsidRDefault="009D33CB" w:rsidP="00FC7469">
            <w:pPr>
              <w:jc w:val="center"/>
              <w:rPr>
                <w:b/>
              </w:rPr>
            </w:pPr>
            <w:r w:rsidRPr="00950995">
              <w:rPr>
                <w:b/>
              </w:rPr>
              <w:t xml:space="preserve">Characteristics of </w:t>
            </w:r>
            <w:r>
              <w:rPr>
                <w:b/>
                <w:i/>
              </w:rPr>
              <w:t>low vulnerability</w:t>
            </w:r>
            <w:r>
              <w:rPr>
                <w:b/>
              </w:rPr>
              <w:t xml:space="preserve"> locations</w:t>
            </w:r>
          </w:p>
        </w:tc>
        <w:tc>
          <w:tcPr>
            <w:tcW w:w="1440" w:type="dxa"/>
            <w:vAlign w:val="center"/>
          </w:tcPr>
          <w:p w14:paraId="6436829A" w14:textId="77777777" w:rsidR="009D33CB" w:rsidRPr="00950995" w:rsidRDefault="009D33CB" w:rsidP="00FC7469">
            <w:pPr>
              <w:jc w:val="center"/>
              <w:rPr>
                <w:b/>
              </w:rPr>
            </w:pPr>
            <w:r>
              <w:rPr>
                <w:b/>
              </w:rPr>
              <w:t>Vulnerability Score</w:t>
            </w:r>
          </w:p>
        </w:tc>
        <w:tc>
          <w:tcPr>
            <w:tcW w:w="1890" w:type="dxa"/>
            <w:shd w:val="clear" w:color="auto" w:fill="auto"/>
            <w:vAlign w:val="center"/>
          </w:tcPr>
          <w:p w14:paraId="1A3D4828" w14:textId="77777777" w:rsidR="009D33CB" w:rsidRPr="00950995" w:rsidRDefault="00A1471B" w:rsidP="00FC7469">
            <w:pPr>
              <w:jc w:val="center"/>
              <w:rPr>
                <w:b/>
              </w:rPr>
            </w:pPr>
            <w:r>
              <w:rPr>
                <w:b/>
              </w:rPr>
              <w:t>Reflections</w:t>
            </w:r>
          </w:p>
        </w:tc>
      </w:tr>
      <w:tr w:rsidR="00A1471B" w:rsidRPr="00950995" w14:paraId="50B72A7F" w14:textId="77777777" w:rsidTr="00301BC4">
        <w:trPr>
          <w:trHeight w:val="1160"/>
        </w:trPr>
        <w:tc>
          <w:tcPr>
            <w:tcW w:w="1174" w:type="dxa"/>
            <w:vAlign w:val="center"/>
          </w:tcPr>
          <w:p w14:paraId="4901DF75" w14:textId="77777777" w:rsidR="00A1471B" w:rsidRPr="00950995" w:rsidRDefault="00A1471B" w:rsidP="00FC7469">
            <w:pPr>
              <w:jc w:val="center"/>
              <w:rPr>
                <w:i/>
              </w:rPr>
            </w:pPr>
            <w:r w:rsidRPr="00950995">
              <w:rPr>
                <w:i/>
              </w:rPr>
              <w:t>Pyroclastic Flow</w:t>
            </w:r>
          </w:p>
        </w:tc>
        <w:tc>
          <w:tcPr>
            <w:tcW w:w="2966" w:type="dxa"/>
            <w:vAlign w:val="center"/>
          </w:tcPr>
          <w:p w14:paraId="67E6621E" w14:textId="77777777" w:rsidR="00A1471B" w:rsidRPr="002E38D7" w:rsidRDefault="00A1471B" w:rsidP="00A1471B">
            <w:pPr>
              <w:rPr>
                <w:color w:val="FF0000"/>
              </w:rPr>
            </w:pPr>
          </w:p>
        </w:tc>
        <w:tc>
          <w:tcPr>
            <w:tcW w:w="3060" w:type="dxa"/>
            <w:vAlign w:val="center"/>
          </w:tcPr>
          <w:p w14:paraId="0C4F1835" w14:textId="77777777" w:rsidR="00A1471B" w:rsidRPr="002E38D7" w:rsidRDefault="00A1471B" w:rsidP="00A1471B">
            <w:pPr>
              <w:rPr>
                <w:color w:val="FF0000"/>
              </w:rPr>
            </w:pPr>
          </w:p>
        </w:tc>
        <w:tc>
          <w:tcPr>
            <w:tcW w:w="3330" w:type="dxa"/>
            <w:vAlign w:val="center"/>
          </w:tcPr>
          <w:p w14:paraId="51604DAB" w14:textId="77777777" w:rsidR="00A1471B" w:rsidRPr="002E38D7" w:rsidRDefault="00A1471B" w:rsidP="00A1471B">
            <w:pPr>
              <w:rPr>
                <w:color w:val="FF0000"/>
              </w:rPr>
            </w:pPr>
          </w:p>
        </w:tc>
        <w:tc>
          <w:tcPr>
            <w:tcW w:w="1440" w:type="dxa"/>
            <w:vAlign w:val="center"/>
          </w:tcPr>
          <w:p w14:paraId="76907D99" w14:textId="77777777" w:rsidR="00A1471B" w:rsidRDefault="00A1471B" w:rsidP="00A1471B">
            <w:pPr>
              <w:jc w:val="center"/>
            </w:pPr>
          </w:p>
        </w:tc>
        <w:tc>
          <w:tcPr>
            <w:tcW w:w="1890" w:type="dxa"/>
            <w:shd w:val="clear" w:color="auto" w:fill="auto"/>
            <w:vAlign w:val="center"/>
          </w:tcPr>
          <w:p w14:paraId="202F46AD" w14:textId="77777777" w:rsidR="00A1471B" w:rsidRDefault="00A1471B" w:rsidP="00A1471B">
            <w:pPr>
              <w:jc w:val="center"/>
            </w:pPr>
          </w:p>
        </w:tc>
      </w:tr>
      <w:tr w:rsidR="00A1471B" w:rsidRPr="00950995" w14:paraId="182C5C32" w14:textId="77777777" w:rsidTr="00301BC4">
        <w:trPr>
          <w:trHeight w:val="1601"/>
        </w:trPr>
        <w:tc>
          <w:tcPr>
            <w:tcW w:w="1174" w:type="dxa"/>
            <w:vAlign w:val="center"/>
          </w:tcPr>
          <w:p w14:paraId="1DE62733" w14:textId="77777777" w:rsidR="00A1471B" w:rsidRPr="00950995" w:rsidRDefault="00A1471B" w:rsidP="00FC7469">
            <w:pPr>
              <w:jc w:val="center"/>
              <w:rPr>
                <w:i/>
              </w:rPr>
            </w:pPr>
            <w:r w:rsidRPr="00950995">
              <w:rPr>
                <w:i/>
              </w:rPr>
              <w:t>Lahar</w:t>
            </w:r>
          </w:p>
        </w:tc>
        <w:tc>
          <w:tcPr>
            <w:tcW w:w="2966" w:type="dxa"/>
            <w:vAlign w:val="center"/>
          </w:tcPr>
          <w:p w14:paraId="217A99EF" w14:textId="77777777" w:rsidR="00A1471B" w:rsidRPr="00F5209A" w:rsidRDefault="00A1471B" w:rsidP="00A1471B">
            <w:pPr>
              <w:rPr>
                <w:color w:val="FF0000"/>
              </w:rPr>
            </w:pPr>
          </w:p>
        </w:tc>
        <w:tc>
          <w:tcPr>
            <w:tcW w:w="3060" w:type="dxa"/>
            <w:vAlign w:val="center"/>
          </w:tcPr>
          <w:p w14:paraId="77702775" w14:textId="77777777" w:rsidR="00A1471B" w:rsidRPr="00F5209A" w:rsidRDefault="00A1471B" w:rsidP="00A1471B">
            <w:pPr>
              <w:rPr>
                <w:color w:val="FF0000"/>
              </w:rPr>
            </w:pPr>
          </w:p>
        </w:tc>
        <w:tc>
          <w:tcPr>
            <w:tcW w:w="3330" w:type="dxa"/>
            <w:vAlign w:val="center"/>
          </w:tcPr>
          <w:p w14:paraId="24A6B834" w14:textId="77777777" w:rsidR="00A1471B" w:rsidRPr="00F5209A" w:rsidRDefault="00A1471B" w:rsidP="00A1471B">
            <w:pPr>
              <w:rPr>
                <w:color w:val="FF0000"/>
              </w:rPr>
            </w:pPr>
          </w:p>
        </w:tc>
        <w:tc>
          <w:tcPr>
            <w:tcW w:w="1440" w:type="dxa"/>
            <w:vAlign w:val="center"/>
          </w:tcPr>
          <w:p w14:paraId="2AF570BE" w14:textId="77777777" w:rsidR="00A1471B" w:rsidRDefault="00A1471B" w:rsidP="00A1471B">
            <w:pPr>
              <w:jc w:val="center"/>
            </w:pPr>
          </w:p>
        </w:tc>
        <w:tc>
          <w:tcPr>
            <w:tcW w:w="1890" w:type="dxa"/>
            <w:shd w:val="clear" w:color="auto" w:fill="auto"/>
            <w:vAlign w:val="center"/>
          </w:tcPr>
          <w:p w14:paraId="24F2F84D" w14:textId="77777777" w:rsidR="00A1471B" w:rsidRDefault="00A1471B" w:rsidP="00A1471B">
            <w:pPr>
              <w:jc w:val="center"/>
            </w:pPr>
          </w:p>
        </w:tc>
      </w:tr>
      <w:tr w:rsidR="00A1471B" w:rsidRPr="00950995" w14:paraId="6F222337" w14:textId="77777777" w:rsidTr="00301BC4">
        <w:trPr>
          <w:trHeight w:val="1169"/>
        </w:trPr>
        <w:tc>
          <w:tcPr>
            <w:tcW w:w="1174" w:type="dxa"/>
            <w:vAlign w:val="center"/>
          </w:tcPr>
          <w:p w14:paraId="78D9A2CF" w14:textId="77777777" w:rsidR="00A1471B" w:rsidRPr="00950995" w:rsidRDefault="00A1471B" w:rsidP="00FC7469">
            <w:pPr>
              <w:jc w:val="center"/>
              <w:rPr>
                <w:i/>
              </w:rPr>
            </w:pPr>
            <w:r w:rsidRPr="00950995">
              <w:rPr>
                <w:i/>
              </w:rPr>
              <w:t>Ash</w:t>
            </w:r>
            <w:r>
              <w:rPr>
                <w:i/>
              </w:rPr>
              <w:t xml:space="preserve"> F</w:t>
            </w:r>
            <w:r w:rsidRPr="00950995">
              <w:rPr>
                <w:i/>
              </w:rPr>
              <w:t>all</w:t>
            </w:r>
          </w:p>
        </w:tc>
        <w:tc>
          <w:tcPr>
            <w:tcW w:w="2966" w:type="dxa"/>
            <w:vAlign w:val="center"/>
          </w:tcPr>
          <w:p w14:paraId="5047C553" w14:textId="77777777" w:rsidR="00A1471B" w:rsidRPr="00F5209A" w:rsidRDefault="00A1471B" w:rsidP="00A1471B">
            <w:pPr>
              <w:rPr>
                <w:color w:val="FF0000"/>
              </w:rPr>
            </w:pPr>
          </w:p>
        </w:tc>
        <w:tc>
          <w:tcPr>
            <w:tcW w:w="3060" w:type="dxa"/>
            <w:vAlign w:val="center"/>
          </w:tcPr>
          <w:p w14:paraId="6C69F12B" w14:textId="77777777" w:rsidR="00A1471B" w:rsidRPr="00F5209A" w:rsidRDefault="00A1471B" w:rsidP="00A1471B">
            <w:pPr>
              <w:rPr>
                <w:color w:val="FF0000"/>
              </w:rPr>
            </w:pPr>
          </w:p>
        </w:tc>
        <w:tc>
          <w:tcPr>
            <w:tcW w:w="3330" w:type="dxa"/>
            <w:vAlign w:val="center"/>
          </w:tcPr>
          <w:p w14:paraId="3755EDAA" w14:textId="77777777" w:rsidR="00A1471B" w:rsidRPr="00F5209A" w:rsidRDefault="00A1471B" w:rsidP="00A1471B">
            <w:pPr>
              <w:rPr>
                <w:color w:val="FF0000"/>
              </w:rPr>
            </w:pPr>
          </w:p>
        </w:tc>
        <w:tc>
          <w:tcPr>
            <w:tcW w:w="1440" w:type="dxa"/>
            <w:vAlign w:val="center"/>
          </w:tcPr>
          <w:p w14:paraId="768B7416" w14:textId="77777777" w:rsidR="00A1471B" w:rsidRDefault="00A1471B" w:rsidP="00A1471B">
            <w:pPr>
              <w:jc w:val="center"/>
            </w:pPr>
          </w:p>
        </w:tc>
        <w:tc>
          <w:tcPr>
            <w:tcW w:w="1890" w:type="dxa"/>
            <w:shd w:val="clear" w:color="auto" w:fill="auto"/>
            <w:vAlign w:val="center"/>
          </w:tcPr>
          <w:p w14:paraId="5EF16E52" w14:textId="77777777" w:rsidR="00A1471B" w:rsidRDefault="00A1471B" w:rsidP="00A1471B">
            <w:pPr>
              <w:jc w:val="center"/>
            </w:pPr>
          </w:p>
        </w:tc>
      </w:tr>
      <w:tr w:rsidR="004F1331" w:rsidRPr="00950995" w14:paraId="1E0E5C7A" w14:textId="77777777" w:rsidTr="00301BC4">
        <w:trPr>
          <w:trHeight w:val="1169"/>
        </w:trPr>
        <w:tc>
          <w:tcPr>
            <w:tcW w:w="1174" w:type="dxa"/>
            <w:vAlign w:val="center"/>
          </w:tcPr>
          <w:p w14:paraId="0BADF69C" w14:textId="77777777" w:rsidR="004F1331" w:rsidRPr="00950995" w:rsidRDefault="004F1331" w:rsidP="00FC7469">
            <w:pPr>
              <w:jc w:val="center"/>
              <w:rPr>
                <w:i/>
              </w:rPr>
            </w:pPr>
            <w:r>
              <w:rPr>
                <w:i/>
              </w:rPr>
              <w:t>Flooding</w:t>
            </w:r>
          </w:p>
        </w:tc>
        <w:tc>
          <w:tcPr>
            <w:tcW w:w="2966" w:type="dxa"/>
            <w:vAlign w:val="center"/>
          </w:tcPr>
          <w:p w14:paraId="2BDA7B71" w14:textId="77777777" w:rsidR="004F1331" w:rsidRPr="00F5209A" w:rsidRDefault="004F1331" w:rsidP="00A1471B">
            <w:pPr>
              <w:rPr>
                <w:color w:val="FF0000"/>
              </w:rPr>
            </w:pPr>
          </w:p>
        </w:tc>
        <w:tc>
          <w:tcPr>
            <w:tcW w:w="3060" w:type="dxa"/>
            <w:vAlign w:val="center"/>
          </w:tcPr>
          <w:p w14:paraId="77BE5D70" w14:textId="77777777" w:rsidR="004F1331" w:rsidRPr="00F5209A" w:rsidRDefault="004F1331" w:rsidP="00A1471B">
            <w:pPr>
              <w:rPr>
                <w:color w:val="FF0000"/>
              </w:rPr>
            </w:pPr>
          </w:p>
        </w:tc>
        <w:tc>
          <w:tcPr>
            <w:tcW w:w="3330" w:type="dxa"/>
            <w:vAlign w:val="center"/>
          </w:tcPr>
          <w:p w14:paraId="5D138527" w14:textId="77777777" w:rsidR="004F1331" w:rsidRPr="00F5209A" w:rsidRDefault="004F1331" w:rsidP="00A1471B">
            <w:pPr>
              <w:rPr>
                <w:color w:val="FF0000"/>
              </w:rPr>
            </w:pPr>
          </w:p>
        </w:tc>
        <w:tc>
          <w:tcPr>
            <w:tcW w:w="1440" w:type="dxa"/>
            <w:vAlign w:val="center"/>
          </w:tcPr>
          <w:p w14:paraId="50E7FF8F" w14:textId="77777777" w:rsidR="004F1331" w:rsidRDefault="004F1331" w:rsidP="00A1471B">
            <w:pPr>
              <w:jc w:val="center"/>
            </w:pPr>
          </w:p>
        </w:tc>
        <w:tc>
          <w:tcPr>
            <w:tcW w:w="1890" w:type="dxa"/>
            <w:shd w:val="clear" w:color="auto" w:fill="auto"/>
            <w:vAlign w:val="center"/>
          </w:tcPr>
          <w:p w14:paraId="6F43FB58" w14:textId="77777777" w:rsidR="004F1331" w:rsidRDefault="004F1331" w:rsidP="00A1471B">
            <w:pPr>
              <w:jc w:val="center"/>
            </w:pPr>
          </w:p>
        </w:tc>
      </w:tr>
      <w:tr w:rsidR="00A1471B" w:rsidRPr="00950995" w14:paraId="4F5CFF16" w14:textId="77777777" w:rsidTr="00301BC4">
        <w:trPr>
          <w:trHeight w:val="719"/>
        </w:trPr>
        <w:tc>
          <w:tcPr>
            <w:tcW w:w="1174" w:type="dxa"/>
            <w:vAlign w:val="center"/>
          </w:tcPr>
          <w:p w14:paraId="27FE7163" w14:textId="77777777" w:rsidR="00A1471B" w:rsidRPr="00950995" w:rsidRDefault="00A1471B" w:rsidP="00FC7469">
            <w:pPr>
              <w:jc w:val="center"/>
              <w:rPr>
                <w:i/>
              </w:rPr>
            </w:pPr>
            <w:r>
              <w:rPr>
                <w:i/>
              </w:rPr>
              <w:t>Gas Emissions</w:t>
            </w:r>
          </w:p>
        </w:tc>
        <w:tc>
          <w:tcPr>
            <w:tcW w:w="2966" w:type="dxa"/>
            <w:vAlign w:val="center"/>
          </w:tcPr>
          <w:p w14:paraId="6750BE3A" w14:textId="77777777" w:rsidR="00A1471B" w:rsidRPr="002E38D7" w:rsidRDefault="00A1471B" w:rsidP="00A1471B">
            <w:pPr>
              <w:rPr>
                <w:color w:val="000000" w:themeColor="text1"/>
              </w:rPr>
            </w:pPr>
            <w:r w:rsidRPr="002E38D7">
              <w:rPr>
                <w:color w:val="000000" w:themeColor="text1"/>
              </w:rPr>
              <w:t>Within 5 km downwind of volcanic vent</w:t>
            </w:r>
          </w:p>
        </w:tc>
        <w:tc>
          <w:tcPr>
            <w:tcW w:w="3060" w:type="dxa"/>
            <w:vAlign w:val="center"/>
          </w:tcPr>
          <w:p w14:paraId="1F9E9A0E" w14:textId="77777777" w:rsidR="00A1471B" w:rsidRPr="002E38D7" w:rsidRDefault="00A1471B" w:rsidP="00A1471B">
            <w:pPr>
              <w:rPr>
                <w:color w:val="000000" w:themeColor="text1"/>
              </w:rPr>
            </w:pPr>
            <w:r w:rsidRPr="002E38D7">
              <w:rPr>
                <w:color w:val="000000" w:themeColor="text1"/>
              </w:rPr>
              <w:t>Within 10 km downwind of volcanic vent</w:t>
            </w:r>
          </w:p>
        </w:tc>
        <w:tc>
          <w:tcPr>
            <w:tcW w:w="3330" w:type="dxa"/>
            <w:vAlign w:val="center"/>
          </w:tcPr>
          <w:p w14:paraId="2288BC8A" w14:textId="77777777" w:rsidR="00A1471B" w:rsidRPr="002E38D7" w:rsidRDefault="00A1471B" w:rsidP="00A1471B">
            <w:pPr>
              <w:rPr>
                <w:color w:val="000000" w:themeColor="text1"/>
              </w:rPr>
            </w:pPr>
            <w:r w:rsidRPr="002E38D7">
              <w:rPr>
                <w:color w:val="000000" w:themeColor="text1"/>
              </w:rPr>
              <w:t>N/A</w:t>
            </w:r>
          </w:p>
        </w:tc>
        <w:tc>
          <w:tcPr>
            <w:tcW w:w="1440" w:type="dxa"/>
            <w:vAlign w:val="center"/>
          </w:tcPr>
          <w:p w14:paraId="72B5CF79" w14:textId="77777777" w:rsidR="00A1471B" w:rsidRDefault="00A1471B" w:rsidP="00A1471B">
            <w:pPr>
              <w:jc w:val="center"/>
            </w:pPr>
          </w:p>
        </w:tc>
        <w:tc>
          <w:tcPr>
            <w:tcW w:w="1890" w:type="dxa"/>
            <w:shd w:val="clear" w:color="auto" w:fill="auto"/>
            <w:vAlign w:val="center"/>
          </w:tcPr>
          <w:p w14:paraId="43E550E3" w14:textId="77777777" w:rsidR="00A1471B" w:rsidRDefault="00A1471B" w:rsidP="00A1471B">
            <w:pPr>
              <w:jc w:val="center"/>
            </w:pPr>
          </w:p>
        </w:tc>
      </w:tr>
    </w:tbl>
    <w:p w14:paraId="3DB2DB0A" w14:textId="77777777" w:rsidR="009D33CB" w:rsidRDefault="009D33CB" w:rsidP="00FC7469">
      <w:pPr>
        <w:tabs>
          <w:tab w:val="left" w:pos="1380"/>
        </w:tabs>
        <w:spacing w:line="240" w:lineRule="auto"/>
        <w:rPr>
          <w:u w:val="single"/>
        </w:rPr>
      </w:pPr>
      <w:r w:rsidRPr="009D33CB">
        <w:t xml:space="preserve">7. </w:t>
      </w:r>
      <w:r>
        <w:t>D</w:t>
      </w:r>
      <w:r w:rsidRPr="009D33CB">
        <w:t xml:space="preserve">etermine the </w:t>
      </w:r>
      <w:r w:rsidRPr="00301BC4">
        <w:rPr>
          <w:b/>
        </w:rPr>
        <w:t>Vulnerability Score</w:t>
      </w:r>
      <w:r>
        <w:t xml:space="preserve"> </w:t>
      </w:r>
      <w:r w:rsidRPr="00301BC4">
        <w:rPr>
          <w:i/>
        </w:rPr>
        <w:t>at your site</w:t>
      </w:r>
      <w:r>
        <w:t xml:space="preserve"> for </w:t>
      </w:r>
      <w:r w:rsidRPr="009D33CB">
        <w:t xml:space="preserve">each hazard </w:t>
      </w:r>
      <w:r>
        <w:t>(3 =High, 2 = Moderate, 1 = Low, 0 = no chance)</w:t>
      </w:r>
      <w:r w:rsidRPr="009D33CB">
        <w:t xml:space="preserve">. </w:t>
      </w:r>
      <w:r>
        <w:t xml:space="preserve"> Total</w:t>
      </w:r>
      <w:r w:rsidRPr="009D33CB">
        <w:t xml:space="preserve"> Score: </w:t>
      </w:r>
      <w:r w:rsidRPr="009D33CB">
        <w:rPr>
          <w:u w:val="single"/>
        </w:rPr>
        <w:tab/>
      </w:r>
      <w:r>
        <w:rPr>
          <w:u w:val="single"/>
        </w:rPr>
        <w:tab/>
      </w:r>
    </w:p>
    <w:p w14:paraId="1189E5A1" w14:textId="77777777" w:rsidR="00301BC4" w:rsidRPr="00301BC4" w:rsidRDefault="00301BC4" w:rsidP="00FC7469">
      <w:pPr>
        <w:tabs>
          <w:tab w:val="left" w:pos="1380"/>
        </w:tabs>
        <w:spacing w:line="240" w:lineRule="auto"/>
      </w:pPr>
      <w:r>
        <w:t xml:space="preserve">8. Complete the </w:t>
      </w:r>
      <w:r w:rsidRPr="00301BC4">
        <w:rPr>
          <w:b/>
        </w:rPr>
        <w:t>Reflections</w:t>
      </w:r>
      <w:r>
        <w:t xml:space="preserve"> column of this table when instructed to do so.</w:t>
      </w:r>
    </w:p>
    <w:sectPr w:rsidR="00301BC4" w:rsidRPr="00301BC4" w:rsidSect="009D33C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8478" w14:textId="77777777" w:rsidR="006D60CB" w:rsidRDefault="006D60CB" w:rsidP="00A2669B">
      <w:pPr>
        <w:spacing w:line="240" w:lineRule="auto"/>
      </w:pPr>
      <w:r>
        <w:separator/>
      </w:r>
    </w:p>
  </w:endnote>
  <w:endnote w:type="continuationSeparator" w:id="0">
    <w:p w14:paraId="58CAC29F" w14:textId="77777777" w:rsidR="006D60CB" w:rsidRDefault="006D60CB" w:rsidP="00A2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32069" w14:textId="77777777" w:rsidR="00301BC4" w:rsidRDefault="00301B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33391"/>
      <w:docPartObj>
        <w:docPartGallery w:val="Page Numbers (Bottom of Page)"/>
        <w:docPartUnique/>
      </w:docPartObj>
    </w:sdtPr>
    <w:sdtEndPr/>
    <w:sdtContent>
      <w:p w14:paraId="33CC0907" w14:textId="77777777" w:rsidR="00301BC4" w:rsidRDefault="00301BC4" w:rsidP="00301BC4">
        <w:pPr>
          <w:pStyle w:val="Footer"/>
          <w:jc w:val="right"/>
        </w:pPr>
        <w:r>
          <w:fldChar w:fldCharType="begin"/>
        </w:r>
        <w:r>
          <w:instrText xml:space="preserve"> PAGE   \* MERGEFORMAT </w:instrText>
        </w:r>
        <w:r>
          <w:fldChar w:fldCharType="separate"/>
        </w:r>
        <w:r w:rsidR="003F6571">
          <w:rPr>
            <w:noProof/>
          </w:rPr>
          <w:t>2</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42526"/>
      <w:docPartObj>
        <w:docPartGallery w:val="Page Numbers (Bottom of Page)"/>
        <w:docPartUnique/>
      </w:docPartObj>
    </w:sdtPr>
    <w:sdtEndPr/>
    <w:sdtContent>
      <w:p w14:paraId="4E2C9D9C" w14:textId="77777777" w:rsidR="00733964" w:rsidRDefault="00F1390B" w:rsidP="00301BC4">
        <w:pPr>
          <w:pStyle w:val="Footer"/>
          <w:jc w:val="right"/>
        </w:pPr>
        <w:r>
          <w:fldChar w:fldCharType="begin"/>
        </w:r>
        <w:r>
          <w:instrText xml:space="preserve"> PAGE   \* MERGEFORMAT </w:instrText>
        </w:r>
        <w:r>
          <w:fldChar w:fldCharType="separate"/>
        </w:r>
        <w:r w:rsidR="003F6571">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008A" w14:textId="77777777" w:rsidR="006D60CB" w:rsidRDefault="006D60CB" w:rsidP="00A2669B">
      <w:pPr>
        <w:spacing w:line="240" w:lineRule="auto"/>
      </w:pPr>
      <w:r>
        <w:separator/>
      </w:r>
    </w:p>
  </w:footnote>
  <w:footnote w:type="continuationSeparator" w:id="0">
    <w:p w14:paraId="35E46656" w14:textId="77777777" w:rsidR="006D60CB" w:rsidRDefault="006D60CB" w:rsidP="00A266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15DA" w14:textId="77777777" w:rsidR="00301BC4" w:rsidRDefault="00301B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0B73" w14:textId="77777777" w:rsidR="00A2669B" w:rsidRDefault="00A2669B">
    <w:pPr>
      <w:pStyle w:val="Header"/>
    </w:pPr>
    <w:r>
      <w:t xml:space="preserve">Unit </w:t>
    </w:r>
    <w:r w:rsidR="00802D7C">
      <w:t xml:space="preserve">6 Student </w:t>
    </w:r>
    <w:r w:rsidR="00301BC4">
      <w:t>Worksheets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1E35" w14:textId="77777777" w:rsidR="00A2669B" w:rsidRDefault="00301BC4" w:rsidP="00301BC4">
    <w:pPr>
      <w:pStyle w:val="Header"/>
      <w:tabs>
        <w:tab w:val="clear" w:pos="4680"/>
        <w:tab w:val="clear" w:pos="9360"/>
        <w:tab w:val="left" w:pos="8280"/>
        <w:tab w:val="right" w:pos="12960"/>
      </w:tabs>
      <w:rPr>
        <w:u w:val="single"/>
      </w:rPr>
    </w:pPr>
    <w:r>
      <w:t>Living on the Edge: Unit 6 Hazards and Risks at Convergent Plate Boundaries</w:t>
    </w:r>
    <w:r>
      <w:tab/>
    </w:r>
    <w:r w:rsidR="00183DD3">
      <w:t xml:space="preserve">Name: </w:t>
    </w:r>
    <w:r w:rsidR="00183DD3">
      <w:rPr>
        <w:u w:val="single"/>
      </w:rPr>
      <w:tab/>
    </w:r>
  </w:p>
  <w:p w14:paraId="5D5D9511" w14:textId="77777777" w:rsidR="00301BC4" w:rsidRDefault="00301BC4" w:rsidP="00301BC4">
    <w:pPr>
      <w:pStyle w:val="Header"/>
      <w:tabs>
        <w:tab w:val="clear" w:pos="4680"/>
        <w:tab w:val="clear" w:pos="9360"/>
        <w:tab w:val="left" w:pos="7920"/>
        <w:tab w:val="right" w:pos="12960"/>
      </w:tabs>
    </w:pPr>
    <w:r>
      <w:t>Student Worksheet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5459"/>
    <w:multiLevelType w:val="multilevel"/>
    <w:tmpl w:val="496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B"/>
    <w:rsid w:val="00055E27"/>
    <w:rsid w:val="000621A8"/>
    <w:rsid w:val="00063D8E"/>
    <w:rsid w:val="000914D9"/>
    <w:rsid w:val="000C1D46"/>
    <w:rsid w:val="00117559"/>
    <w:rsid w:val="00140479"/>
    <w:rsid w:val="0015574A"/>
    <w:rsid w:val="00155981"/>
    <w:rsid w:val="00163A8C"/>
    <w:rsid w:val="00167D1A"/>
    <w:rsid w:val="001725F9"/>
    <w:rsid w:val="00183DD3"/>
    <w:rsid w:val="00190BA8"/>
    <w:rsid w:val="00195277"/>
    <w:rsid w:val="001C5497"/>
    <w:rsid w:val="001D792B"/>
    <w:rsid w:val="002819EB"/>
    <w:rsid w:val="002E55D6"/>
    <w:rsid w:val="00301BC4"/>
    <w:rsid w:val="00317338"/>
    <w:rsid w:val="003319EB"/>
    <w:rsid w:val="00351019"/>
    <w:rsid w:val="0035417A"/>
    <w:rsid w:val="0039745C"/>
    <w:rsid w:val="003A015F"/>
    <w:rsid w:val="003A293F"/>
    <w:rsid w:val="003B36EF"/>
    <w:rsid w:val="003E6EDC"/>
    <w:rsid w:val="003E7B75"/>
    <w:rsid w:val="003F15F6"/>
    <w:rsid w:val="003F6571"/>
    <w:rsid w:val="00411C36"/>
    <w:rsid w:val="004259F9"/>
    <w:rsid w:val="004F1331"/>
    <w:rsid w:val="00530362"/>
    <w:rsid w:val="00553EF4"/>
    <w:rsid w:val="005E7307"/>
    <w:rsid w:val="005F3621"/>
    <w:rsid w:val="006203D8"/>
    <w:rsid w:val="006259FC"/>
    <w:rsid w:val="006917C4"/>
    <w:rsid w:val="006A2738"/>
    <w:rsid w:val="006D60CB"/>
    <w:rsid w:val="00716C1C"/>
    <w:rsid w:val="00724117"/>
    <w:rsid w:val="00733964"/>
    <w:rsid w:val="007C1074"/>
    <w:rsid w:val="00802D7C"/>
    <w:rsid w:val="00813C66"/>
    <w:rsid w:val="00862C4B"/>
    <w:rsid w:val="008929A8"/>
    <w:rsid w:val="008A7877"/>
    <w:rsid w:val="008B0CC9"/>
    <w:rsid w:val="00931D90"/>
    <w:rsid w:val="00966D19"/>
    <w:rsid w:val="00981311"/>
    <w:rsid w:val="009D33CB"/>
    <w:rsid w:val="00A1471B"/>
    <w:rsid w:val="00A2239C"/>
    <w:rsid w:val="00A2669B"/>
    <w:rsid w:val="00A31138"/>
    <w:rsid w:val="00A35D1E"/>
    <w:rsid w:val="00AA5548"/>
    <w:rsid w:val="00AC2EEE"/>
    <w:rsid w:val="00BB644D"/>
    <w:rsid w:val="00BD674F"/>
    <w:rsid w:val="00BD6A96"/>
    <w:rsid w:val="00BE286D"/>
    <w:rsid w:val="00C05AAC"/>
    <w:rsid w:val="00C218AD"/>
    <w:rsid w:val="00D1253B"/>
    <w:rsid w:val="00D40AE0"/>
    <w:rsid w:val="00D46959"/>
    <w:rsid w:val="00D734F8"/>
    <w:rsid w:val="00DA283D"/>
    <w:rsid w:val="00E024A3"/>
    <w:rsid w:val="00E3729E"/>
    <w:rsid w:val="00E62D88"/>
    <w:rsid w:val="00E926E4"/>
    <w:rsid w:val="00E978C4"/>
    <w:rsid w:val="00EA244A"/>
    <w:rsid w:val="00F1390B"/>
    <w:rsid w:val="00F70C16"/>
    <w:rsid w:val="00FC0C87"/>
    <w:rsid w:val="00FC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4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6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669B"/>
    <w:pPr>
      <w:tabs>
        <w:tab w:val="center" w:pos="4680"/>
        <w:tab w:val="right" w:pos="9360"/>
      </w:tabs>
      <w:spacing w:line="240" w:lineRule="auto"/>
    </w:pPr>
  </w:style>
  <w:style w:type="character" w:customStyle="1" w:styleId="HeaderChar">
    <w:name w:val="Header Char"/>
    <w:basedOn w:val="DefaultParagraphFont"/>
    <w:link w:val="Header"/>
    <w:uiPriority w:val="99"/>
    <w:rsid w:val="00A2669B"/>
  </w:style>
  <w:style w:type="paragraph" w:styleId="Footer">
    <w:name w:val="footer"/>
    <w:basedOn w:val="Normal"/>
    <w:link w:val="FooterChar"/>
    <w:uiPriority w:val="99"/>
    <w:unhideWhenUsed/>
    <w:rsid w:val="00A2669B"/>
    <w:pPr>
      <w:tabs>
        <w:tab w:val="center" w:pos="4680"/>
        <w:tab w:val="right" w:pos="9360"/>
      </w:tabs>
      <w:spacing w:line="240" w:lineRule="auto"/>
    </w:pPr>
  </w:style>
  <w:style w:type="character" w:customStyle="1" w:styleId="FooterChar">
    <w:name w:val="Footer Char"/>
    <w:basedOn w:val="DefaultParagraphFont"/>
    <w:link w:val="Footer"/>
    <w:uiPriority w:val="99"/>
    <w:rsid w:val="00A2669B"/>
  </w:style>
  <w:style w:type="paragraph" w:styleId="BalloonText">
    <w:name w:val="Balloon Text"/>
    <w:basedOn w:val="Normal"/>
    <w:link w:val="BalloonTextChar"/>
    <w:uiPriority w:val="99"/>
    <w:semiHidden/>
    <w:unhideWhenUsed/>
    <w:rsid w:val="00A26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9B"/>
    <w:rPr>
      <w:rFonts w:ascii="Tahoma" w:hAnsi="Tahoma" w:cs="Tahoma"/>
      <w:sz w:val="16"/>
      <w:szCs w:val="16"/>
    </w:rPr>
  </w:style>
  <w:style w:type="paragraph" w:styleId="NormalWeb">
    <w:name w:val="Normal (Web)"/>
    <w:basedOn w:val="Normal"/>
    <w:uiPriority w:val="99"/>
    <w:semiHidden/>
    <w:unhideWhenUsed/>
    <w:rsid w:val="00063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D8E"/>
    <w:rPr>
      <w:color w:val="0000FF" w:themeColor="hyperlink"/>
      <w:u w:val="single"/>
    </w:rPr>
  </w:style>
  <w:style w:type="character" w:styleId="CommentReference">
    <w:name w:val="annotation reference"/>
    <w:basedOn w:val="DefaultParagraphFont"/>
    <w:uiPriority w:val="99"/>
    <w:semiHidden/>
    <w:unhideWhenUsed/>
    <w:rsid w:val="00D734F8"/>
    <w:rPr>
      <w:sz w:val="18"/>
      <w:szCs w:val="18"/>
    </w:rPr>
  </w:style>
  <w:style w:type="paragraph" w:styleId="CommentText">
    <w:name w:val="annotation text"/>
    <w:basedOn w:val="Normal"/>
    <w:link w:val="CommentTextChar"/>
    <w:uiPriority w:val="99"/>
    <w:semiHidden/>
    <w:unhideWhenUsed/>
    <w:rsid w:val="00D734F8"/>
    <w:pPr>
      <w:spacing w:line="240" w:lineRule="auto"/>
    </w:pPr>
    <w:rPr>
      <w:sz w:val="24"/>
      <w:szCs w:val="24"/>
    </w:rPr>
  </w:style>
  <w:style w:type="character" w:customStyle="1" w:styleId="CommentTextChar">
    <w:name w:val="Comment Text Char"/>
    <w:basedOn w:val="DefaultParagraphFont"/>
    <w:link w:val="CommentText"/>
    <w:uiPriority w:val="99"/>
    <w:semiHidden/>
    <w:rsid w:val="00D734F8"/>
    <w:rPr>
      <w:sz w:val="24"/>
      <w:szCs w:val="24"/>
    </w:rPr>
  </w:style>
  <w:style w:type="paragraph" w:styleId="CommentSubject">
    <w:name w:val="annotation subject"/>
    <w:basedOn w:val="CommentText"/>
    <w:next w:val="CommentText"/>
    <w:link w:val="CommentSubjectChar"/>
    <w:uiPriority w:val="99"/>
    <w:semiHidden/>
    <w:unhideWhenUsed/>
    <w:rsid w:val="00D734F8"/>
    <w:rPr>
      <w:b/>
      <w:bCs/>
      <w:sz w:val="20"/>
      <w:szCs w:val="20"/>
    </w:rPr>
  </w:style>
  <w:style w:type="character" w:customStyle="1" w:styleId="CommentSubjectChar">
    <w:name w:val="Comment Subject Char"/>
    <w:basedOn w:val="CommentTextChar"/>
    <w:link w:val="CommentSubject"/>
    <w:uiPriority w:val="99"/>
    <w:semiHidden/>
    <w:rsid w:val="00D734F8"/>
    <w:rPr>
      <w:b/>
      <w:bCs/>
      <w:sz w:val="20"/>
      <w:szCs w:val="20"/>
    </w:rPr>
  </w:style>
  <w:style w:type="paragraph" w:styleId="ListParagraph">
    <w:name w:val="List Paragraph"/>
    <w:basedOn w:val="Normal"/>
    <w:uiPriority w:val="34"/>
    <w:qFormat/>
    <w:rsid w:val="009D33CB"/>
    <w:pPr>
      <w:spacing w:line="240" w:lineRule="auto"/>
      <w:ind w:left="720"/>
      <w:contextualSpacing/>
    </w:pPr>
    <w:rPr>
      <w:rFonts w:asciiTheme="majorHAnsi" w:eastAsiaTheme="minorEastAsia" w:hAnsiTheme="majorHAnsi"/>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6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669B"/>
    <w:pPr>
      <w:tabs>
        <w:tab w:val="center" w:pos="4680"/>
        <w:tab w:val="right" w:pos="9360"/>
      </w:tabs>
      <w:spacing w:line="240" w:lineRule="auto"/>
    </w:pPr>
  </w:style>
  <w:style w:type="character" w:customStyle="1" w:styleId="HeaderChar">
    <w:name w:val="Header Char"/>
    <w:basedOn w:val="DefaultParagraphFont"/>
    <w:link w:val="Header"/>
    <w:uiPriority w:val="99"/>
    <w:rsid w:val="00A2669B"/>
  </w:style>
  <w:style w:type="paragraph" w:styleId="Footer">
    <w:name w:val="footer"/>
    <w:basedOn w:val="Normal"/>
    <w:link w:val="FooterChar"/>
    <w:uiPriority w:val="99"/>
    <w:unhideWhenUsed/>
    <w:rsid w:val="00A2669B"/>
    <w:pPr>
      <w:tabs>
        <w:tab w:val="center" w:pos="4680"/>
        <w:tab w:val="right" w:pos="9360"/>
      </w:tabs>
      <w:spacing w:line="240" w:lineRule="auto"/>
    </w:pPr>
  </w:style>
  <w:style w:type="character" w:customStyle="1" w:styleId="FooterChar">
    <w:name w:val="Footer Char"/>
    <w:basedOn w:val="DefaultParagraphFont"/>
    <w:link w:val="Footer"/>
    <w:uiPriority w:val="99"/>
    <w:rsid w:val="00A2669B"/>
  </w:style>
  <w:style w:type="paragraph" w:styleId="BalloonText">
    <w:name w:val="Balloon Text"/>
    <w:basedOn w:val="Normal"/>
    <w:link w:val="BalloonTextChar"/>
    <w:uiPriority w:val="99"/>
    <w:semiHidden/>
    <w:unhideWhenUsed/>
    <w:rsid w:val="00A26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9B"/>
    <w:rPr>
      <w:rFonts w:ascii="Tahoma" w:hAnsi="Tahoma" w:cs="Tahoma"/>
      <w:sz w:val="16"/>
      <w:szCs w:val="16"/>
    </w:rPr>
  </w:style>
  <w:style w:type="paragraph" w:styleId="NormalWeb">
    <w:name w:val="Normal (Web)"/>
    <w:basedOn w:val="Normal"/>
    <w:uiPriority w:val="99"/>
    <w:semiHidden/>
    <w:unhideWhenUsed/>
    <w:rsid w:val="00063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D8E"/>
    <w:rPr>
      <w:color w:val="0000FF" w:themeColor="hyperlink"/>
      <w:u w:val="single"/>
    </w:rPr>
  </w:style>
  <w:style w:type="character" w:styleId="CommentReference">
    <w:name w:val="annotation reference"/>
    <w:basedOn w:val="DefaultParagraphFont"/>
    <w:uiPriority w:val="99"/>
    <w:semiHidden/>
    <w:unhideWhenUsed/>
    <w:rsid w:val="00D734F8"/>
    <w:rPr>
      <w:sz w:val="18"/>
      <w:szCs w:val="18"/>
    </w:rPr>
  </w:style>
  <w:style w:type="paragraph" w:styleId="CommentText">
    <w:name w:val="annotation text"/>
    <w:basedOn w:val="Normal"/>
    <w:link w:val="CommentTextChar"/>
    <w:uiPriority w:val="99"/>
    <w:semiHidden/>
    <w:unhideWhenUsed/>
    <w:rsid w:val="00D734F8"/>
    <w:pPr>
      <w:spacing w:line="240" w:lineRule="auto"/>
    </w:pPr>
    <w:rPr>
      <w:sz w:val="24"/>
      <w:szCs w:val="24"/>
    </w:rPr>
  </w:style>
  <w:style w:type="character" w:customStyle="1" w:styleId="CommentTextChar">
    <w:name w:val="Comment Text Char"/>
    <w:basedOn w:val="DefaultParagraphFont"/>
    <w:link w:val="CommentText"/>
    <w:uiPriority w:val="99"/>
    <w:semiHidden/>
    <w:rsid w:val="00D734F8"/>
    <w:rPr>
      <w:sz w:val="24"/>
      <w:szCs w:val="24"/>
    </w:rPr>
  </w:style>
  <w:style w:type="paragraph" w:styleId="CommentSubject">
    <w:name w:val="annotation subject"/>
    <w:basedOn w:val="CommentText"/>
    <w:next w:val="CommentText"/>
    <w:link w:val="CommentSubjectChar"/>
    <w:uiPriority w:val="99"/>
    <w:semiHidden/>
    <w:unhideWhenUsed/>
    <w:rsid w:val="00D734F8"/>
    <w:rPr>
      <w:b/>
      <w:bCs/>
      <w:sz w:val="20"/>
      <w:szCs w:val="20"/>
    </w:rPr>
  </w:style>
  <w:style w:type="character" w:customStyle="1" w:styleId="CommentSubjectChar">
    <w:name w:val="Comment Subject Char"/>
    <w:basedOn w:val="CommentTextChar"/>
    <w:link w:val="CommentSubject"/>
    <w:uiPriority w:val="99"/>
    <w:semiHidden/>
    <w:rsid w:val="00D734F8"/>
    <w:rPr>
      <w:b/>
      <w:bCs/>
      <w:sz w:val="20"/>
      <w:szCs w:val="20"/>
    </w:rPr>
  </w:style>
  <w:style w:type="paragraph" w:styleId="ListParagraph">
    <w:name w:val="List Paragraph"/>
    <w:basedOn w:val="Normal"/>
    <w:uiPriority w:val="34"/>
    <w:qFormat/>
    <w:rsid w:val="009D33CB"/>
    <w:pPr>
      <w:spacing w:line="240" w:lineRule="auto"/>
      <w:ind w:left="720"/>
      <w:contextualSpacing/>
    </w:pPr>
    <w:rPr>
      <w:rFonts w:asciiTheme="majorHAnsi" w:eastAsiaTheme="minorEastAsia" w:hAnsiTheme="maj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171">
      <w:bodyDiv w:val="1"/>
      <w:marLeft w:val="0"/>
      <w:marRight w:val="0"/>
      <w:marTop w:val="0"/>
      <w:marBottom w:val="0"/>
      <w:divBdr>
        <w:top w:val="none" w:sz="0" w:space="0" w:color="auto"/>
        <w:left w:val="none" w:sz="0" w:space="0" w:color="auto"/>
        <w:bottom w:val="none" w:sz="0" w:space="0" w:color="auto"/>
        <w:right w:val="none" w:sz="0" w:space="0" w:color="auto"/>
      </w:divBdr>
    </w:div>
    <w:div w:id="396441026">
      <w:bodyDiv w:val="1"/>
      <w:marLeft w:val="0"/>
      <w:marRight w:val="0"/>
      <w:marTop w:val="0"/>
      <w:marBottom w:val="0"/>
      <w:divBdr>
        <w:top w:val="none" w:sz="0" w:space="0" w:color="auto"/>
        <w:left w:val="none" w:sz="0" w:space="0" w:color="auto"/>
        <w:bottom w:val="none" w:sz="0" w:space="0" w:color="auto"/>
        <w:right w:val="none" w:sz="0" w:space="0" w:color="auto"/>
      </w:divBdr>
    </w:div>
    <w:div w:id="7876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RTeasdale</dc:creator>
  <cp:lastModifiedBy>Joy Riggs</cp:lastModifiedBy>
  <cp:revision>3</cp:revision>
  <dcterms:created xsi:type="dcterms:W3CDTF">2014-09-08T00:46:00Z</dcterms:created>
  <dcterms:modified xsi:type="dcterms:W3CDTF">2015-04-08T18:17:00Z</dcterms:modified>
</cp:coreProperties>
</file>