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4A21A7" w14:paraId="65517A8D" w14:textId="77777777" w:rsidTr="001424AC">
        <w:tc>
          <w:tcPr>
            <w:tcW w:w="3294" w:type="dxa"/>
          </w:tcPr>
          <w:p w14:paraId="0DC645C6" w14:textId="77777777" w:rsidR="004A21A7" w:rsidRDefault="004A21A7"/>
        </w:tc>
        <w:tc>
          <w:tcPr>
            <w:tcW w:w="3294" w:type="dxa"/>
            <w:vAlign w:val="center"/>
          </w:tcPr>
          <w:p w14:paraId="0A6F6372" w14:textId="0B34F06B" w:rsidR="004A21A7" w:rsidRDefault="001424AC" w:rsidP="001424AC">
            <w:pPr>
              <w:jc w:val="center"/>
            </w:pPr>
            <w:r>
              <w:rPr>
                <w:rFonts w:ascii="Zapf Dingbats" w:hAnsi="Zapf Dingbats"/>
              </w:rPr>
              <w:t>✓</w:t>
            </w:r>
            <w:r>
              <w:t>+</w:t>
            </w:r>
          </w:p>
        </w:tc>
        <w:tc>
          <w:tcPr>
            <w:tcW w:w="3294" w:type="dxa"/>
            <w:vAlign w:val="center"/>
          </w:tcPr>
          <w:p w14:paraId="6E46CDD3" w14:textId="08F7E9E1" w:rsidR="004A21A7" w:rsidRDefault="001424AC" w:rsidP="001424AC">
            <w:pPr>
              <w:jc w:val="center"/>
            </w:pPr>
            <w:r>
              <w:rPr>
                <w:rFonts w:ascii="Zapf Dingbats" w:hAnsi="Zapf Dingbats"/>
              </w:rPr>
              <w:t>✓</w:t>
            </w:r>
          </w:p>
        </w:tc>
        <w:tc>
          <w:tcPr>
            <w:tcW w:w="3294" w:type="dxa"/>
            <w:vAlign w:val="center"/>
          </w:tcPr>
          <w:p w14:paraId="2D530772" w14:textId="464E2D5C" w:rsidR="004A21A7" w:rsidRDefault="001424AC" w:rsidP="001424AC">
            <w:pPr>
              <w:jc w:val="center"/>
            </w:pPr>
            <w:r>
              <w:rPr>
                <w:rFonts w:ascii="Zapf Dingbats" w:hAnsi="Zapf Dingbats"/>
              </w:rPr>
              <w:t>✓</w:t>
            </w:r>
            <w:r>
              <w:t>-</w:t>
            </w:r>
          </w:p>
        </w:tc>
      </w:tr>
      <w:tr w:rsidR="004A21A7" w14:paraId="3DCB631B" w14:textId="77777777" w:rsidTr="001424AC">
        <w:tc>
          <w:tcPr>
            <w:tcW w:w="3294" w:type="dxa"/>
            <w:vAlign w:val="center"/>
          </w:tcPr>
          <w:p w14:paraId="01D760C6" w14:textId="77777777" w:rsidR="004A21A7" w:rsidRPr="001424AC" w:rsidRDefault="004A21A7" w:rsidP="001424AC">
            <w:pPr>
              <w:rPr>
                <w:b/>
              </w:rPr>
            </w:pPr>
            <w:r w:rsidRPr="001424AC">
              <w:rPr>
                <w:b/>
              </w:rPr>
              <w:t>Ability to use evidence to make inferences (scientific habits of mind)</w:t>
            </w:r>
          </w:p>
        </w:tc>
        <w:tc>
          <w:tcPr>
            <w:tcW w:w="3294" w:type="dxa"/>
          </w:tcPr>
          <w:p w14:paraId="3EA82E79" w14:textId="1CE23701" w:rsidR="004A21A7" w:rsidRDefault="004A21A7">
            <w:r>
              <w:t xml:space="preserve">Correct links and predictions are formed from the </w:t>
            </w:r>
            <w:proofErr w:type="gramStart"/>
            <w:r>
              <w:t>data which</w:t>
            </w:r>
            <w:proofErr w:type="gramEnd"/>
            <w:r>
              <w:t xml:space="preserve"> is reflected in responses that tie together the history of lead and current exposures</w:t>
            </w:r>
            <w:r w:rsidR="00350355">
              <w:t>.</w:t>
            </w:r>
          </w:p>
        </w:tc>
        <w:tc>
          <w:tcPr>
            <w:tcW w:w="3294" w:type="dxa"/>
          </w:tcPr>
          <w:p w14:paraId="550BA7AF" w14:textId="2D64DF7B" w:rsidR="004A21A7" w:rsidRDefault="004A21A7">
            <w:r>
              <w:t xml:space="preserve">Student response may include </w:t>
            </w:r>
            <w:proofErr w:type="gramStart"/>
            <w:r>
              <w:t>either correct links and</w:t>
            </w:r>
            <w:proofErr w:type="gramEnd"/>
            <w:r>
              <w:t xml:space="preserve"> predictions OR responses that tie together the history of lead and current exposures (but not both), or only makes weak connections between data and inferences</w:t>
            </w:r>
            <w:r w:rsidR="00350355">
              <w:t>.</w:t>
            </w:r>
          </w:p>
        </w:tc>
        <w:tc>
          <w:tcPr>
            <w:tcW w:w="3294" w:type="dxa"/>
          </w:tcPr>
          <w:p w14:paraId="3B2CB93E" w14:textId="11DE3B6B" w:rsidR="004A21A7" w:rsidRDefault="004A21A7">
            <w:r>
              <w:t>No connections are made between various data points, and responses to questions are unrelated to data provided</w:t>
            </w:r>
            <w:r w:rsidR="00350355">
              <w:t>.</w:t>
            </w:r>
          </w:p>
        </w:tc>
      </w:tr>
      <w:tr w:rsidR="004A21A7" w14:paraId="0667B5AF" w14:textId="77777777" w:rsidTr="001424AC">
        <w:tc>
          <w:tcPr>
            <w:tcW w:w="3294" w:type="dxa"/>
            <w:vAlign w:val="center"/>
          </w:tcPr>
          <w:p w14:paraId="3EA5C5A5" w14:textId="77777777" w:rsidR="004A21A7" w:rsidRPr="001424AC" w:rsidRDefault="004A21A7" w:rsidP="001424AC">
            <w:pPr>
              <w:rPr>
                <w:b/>
              </w:rPr>
            </w:pPr>
            <w:r w:rsidRPr="001424AC">
              <w:rPr>
                <w:b/>
              </w:rPr>
              <w:t>Analytical and systems thinking</w:t>
            </w:r>
          </w:p>
        </w:tc>
        <w:tc>
          <w:tcPr>
            <w:tcW w:w="3294" w:type="dxa"/>
          </w:tcPr>
          <w:p w14:paraId="789C25AD" w14:textId="1CE009A0" w:rsidR="004A21A7" w:rsidRDefault="004A21A7">
            <w:r>
              <w:t>The student response clearly articulates the connection between past uses of lead and current distribution and exposure</w:t>
            </w:r>
            <w:r w:rsidR="00350355">
              <w:t>.</w:t>
            </w:r>
          </w:p>
        </w:tc>
        <w:tc>
          <w:tcPr>
            <w:tcW w:w="3294" w:type="dxa"/>
          </w:tcPr>
          <w:p w14:paraId="195E5CC7" w14:textId="54F6D897" w:rsidR="004A21A7" w:rsidRDefault="004A21A7">
            <w:r>
              <w:t>The student response demonstrates historical uses of lead and current exposure, but does not address the connection between them</w:t>
            </w:r>
            <w:r w:rsidR="00350355">
              <w:t>.</w:t>
            </w:r>
          </w:p>
        </w:tc>
        <w:tc>
          <w:tcPr>
            <w:tcW w:w="3294" w:type="dxa"/>
          </w:tcPr>
          <w:p w14:paraId="541A0CBE" w14:textId="159A2129" w:rsidR="004A21A7" w:rsidRDefault="004A21A7">
            <w:r>
              <w:t>The student response does not address past uses of lead and solely addresses current exposures</w:t>
            </w:r>
            <w:r w:rsidR="00350355">
              <w:t>.</w:t>
            </w:r>
          </w:p>
        </w:tc>
      </w:tr>
      <w:tr w:rsidR="004A21A7" w14:paraId="2352EC17" w14:textId="77777777" w:rsidTr="001424AC">
        <w:tc>
          <w:tcPr>
            <w:tcW w:w="3294" w:type="dxa"/>
            <w:vAlign w:val="center"/>
          </w:tcPr>
          <w:p w14:paraId="53B1BA30" w14:textId="77777777" w:rsidR="004A21A7" w:rsidRPr="001424AC" w:rsidRDefault="004A21A7" w:rsidP="001424AC">
            <w:pPr>
              <w:rPr>
                <w:b/>
              </w:rPr>
            </w:pPr>
            <w:r w:rsidRPr="001424AC">
              <w:rPr>
                <w:b/>
              </w:rPr>
              <w:t>Participation and effort</w:t>
            </w:r>
          </w:p>
        </w:tc>
        <w:tc>
          <w:tcPr>
            <w:tcW w:w="3294" w:type="dxa"/>
          </w:tcPr>
          <w:p w14:paraId="6440A571" w14:textId="59DE00C3" w:rsidR="004A21A7" w:rsidRDefault="004A21A7">
            <w:r>
              <w:t>Responses demonstrate a multitude of factors and complexity of interactions that contribute to elevated blood lead levels</w:t>
            </w:r>
            <w:r w:rsidR="00350355">
              <w:t>.</w:t>
            </w:r>
          </w:p>
        </w:tc>
        <w:tc>
          <w:tcPr>
            <w:tcW w:w="3294" w:type="dxa"/>
          </w:tcPr>
          <w:p w14:paraId="1F17D05F" w14:textId="34D0172D" w:rsidR="004A21A7" w:rsidRDefault="004A21A7">
            <w:r>
              <w:t>Responses are partially developed and responses are not complete.  Factors or interactions are not related to elevated blood lead levels</w:t>
            </w:r>
            <w:r w:rsidR="00350355">
              <w:t>.</w:t>
            </w:r>
          </w:p>
        </w:tc>
        <w:tc>
          <w:tcPr>
            <w:tcW w:w="3294" w:type="dxa"/>
          </w:tcPr>
          <w:p w14:paraId="6FA18AB3" w14:textId="2E15E720" w:rsidR="004A21A7" w:rsidRDefault="004A21A7">
            <w:r>
              <w:t>Responses are incomplete or overly simplifie</w:t>
            </w:r>
            <w:bookmarkStart w:id="0" w:name="_GoBack"/>
            <w:bookmarkEnd w:id="0"/>
            <w:r>
              <w:t>d</w:t>
            </w:r>
            <w:r w:rsidR="00350355">
              <w:t>.</w:t>
            </w:r>
          </w:p>
        </w:tc>
      </w:tr>
    </w:tbl>
    <w:p w14:paraId="3F37F9F5" w14:textId="77777777" w:rsidR="00C14C19" w:rsidRDefault="00C14C19"/>
    <w:p w14:paraId="4A780307" w14:textId="1F56E620" w:rsidR="00F87B73" w:rsidRDefault="00F87B73">
      <w:r>
        <w:t>This has the potential to be a class level activity and the rubric could be utilized to grasp the understanding of the class as a whole based on</w:t>
      </w:r>
      <w:r w:rsidR="00350355">
        <w:t xml:space="preserve"> how robust the discussion is. </w:t>
      </w:r>
      <w:r>
        <w:t xml:space="preserve">If you </w:t>
      </w:r>
      <w:r w:rsidR="00142D1B">
        <w:t>choose to assign this as a take-</w:t>
      </w:r>
      <w:r>
        <w:t>home or written assignment, it could be converted to a point scale and used to more thoroughly evaluate each student.</w:t>
      </w:r>
    </w:p>
    <w:sectPr w:rsidR="00F87B73" w:rsidSect="00E47E73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9B26" w14:textId="77777777" w:rsidR="00E47E73" w:rsidRDefault="00E47E73" w:rsidP="00E47E73">
      <w:r>
        <w:separator/>
      </w:r>
    </w:p>
  </w:endnote>
  <w:endnote w:type="continuationSeparator" w:id="0">
    <w:p w14:paraId="27B45A03" w14:textId="77777777" w:rsidR="00E47E73" w:rsidRDefault="00E47E73" w:rsidP="00E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D1068" w14:textId="77777777" w:rsidR="00E47E73" w:rsidRDefault="00E47E73" w:rsidP="00E47E73">
      <w:r>
        <w:separator/>
      </w:r>
    </w:p>
  </w:footnote>
  <w:footnote w:type="continuationSeparator" w:id="0">
    <w:p w14:paraId="7F3EEE0C" w14:textId="77777777" w:rsidR="00E47E73" w:rsidRDefault="00E47E73" w:rsidP="00E47E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6AA0D324B44464094C60D56F43774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7D1A21" w14:textId="77777777" w:rsidR="00E47E73" w:rsidRPr="005E04E9" w:rsidRDefault="00E47E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Grading Rubric for Activity 1.1: Historical comparisons of elevated blood lead levels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11E76C5DB0725A4DBCCB6F903C9647C0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8-27T00:00:00Z">
        <w:dateFormat w:val="MMMM d, yyyy"/>
        <w:lid w:val="en-US"/>
        <w:storeMappedDataAs w:val="dateTime"/>
        <w:calendar w:val="gregorian"/>
      </w:date>
    </w:sdtPr>
    <w:sdtEndPr/>
    <w:sdtContent>
      <w:p w14:paraId="46605115" w14:textId="77777777" w:rsidR="00E47E73" w:rsidRPr="005E04E9" w:rsidRDefault="00E47E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August 27, 2015</w:t>
        </w:r>
      </w:p>
    </w:sdtContent>
  </w:sdt>
  <w:p w14:paraId="78137E73" w14:textId="77777777" w:rsidR="00E47E73" w:rsidRDefault="00E47E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84114768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BB49501" w14:textId="77777777" w:rsidR="00E47E73" w:rsidRPr="005E04E9" w:rsidRDefault="00E47E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Grading Rubric for Activity 1.1: Historical comparisons of elevated blood lead levels</w:t>
        </w:r>
      </w:p>
    </w:sdtContent>
  </w:sdt>
  <w:sdt>
    <w:sdtPr>
      <w:rPr>
        <w:rFonts w:ascii="Cambria" w:hAnsi="Cambria"/>
      </w:rPr>
      <w:alias w:val="Date"/>
      <w:id w:val="633837159"/>
      <w:dataBinding w:prefixMappings="xmlns:ns0='http://schemas.microsoft.com/office/2006/coverPageProps'" w:xpath="/ns0:CoverPageProperties[1]/ns0:PublishDate[1]" w:storeItemID="{55AF091B-3C7A-41E3-B477-F2FDAA23CFDA}"/>
      <w:date w:fullDate="2015-08-27T00:00:00Z">
        <w:dateFormat w:val="MMMM d, yyyy"/>
        <w:lid w:val="en-US"/>
        <w:storeMappedDataAs w:val="dateTime"/>
        <w:calendar w:val="gregorian"/>
      </w:date>
    </w:sdtPr>
    <w:sdtEndPr/>
    <w:sdtContent>
      <w:p w14:paraId="79C50A59" w14:textId="77777777" w:rsidR="00E47E73" w:rsidRPr="005E04E9" w:rsidRDefault="00E47E7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August 27, 2015</w:t>
        </w:r>
      </w:p>
    </w:sdtContent>
  </w:sdt>
  <w:p w14:paraId="172AE102" w14:textId="77777777" w:rsidR="00E47E73" w:rsidRDefault="00E47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3"/>
    <w:rsid w:val="001424AC"/>
    <w:rsid w:val="00142D1B"/>
    <w:rsid w:val="00350355"/>
    <w:rsid w:val="004A21A7"/>
    <w:rsid w:val="009D05F9"/>
    <w:rsid w:val="00C14C19"/>
    <w:rsid w:val="00E47E73"/>
    <w:rsid w:val="00F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C7B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73"/>
  </w:style>
  <w:style w:type="paragraph" w:styleId="Footer">
    <w:name w:val="footer"/>
    <w:basedOn w:val="Normal"/>
    <w:link w:val="FooterChar"/>
    <w:uiPriority w:val="99"/>
    <w:unhideWhenUsed/>
    <w:rsid w:val="00E47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E73"/>
  </w:style>
  <w:style w:type="table" w:styleId="TableGrid">
    <w:name w:val="Table Grid"/>
    <w:basedOn w:val="TableNormal"/>
    <w:uiPriority w:val="59"/>
    <w:rsid w:val="004A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E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E73"/>
  </w:style>
  <w:style w:type="paragraph" w:styleId="Footer">
    <w:name w:val="footer"/>
    <w:basedOn w:val="Normal"/>
    <w:link w:val="FooterChar"/>
    <w:uiPriority w:val="99"/>
    <w:unhideWhenUsed/>
    <w:rsid w:val="00E47E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E73"/>
  </w:style>
  <w:style w:type="table" w:styleId="TableGrid">
    <w:name w:val="Table Grid"/>
    <w:basedOn w:val="TableNormal"/>
    <w:uiPriority w:val="59"/>
    <w:rsid w:val="004A2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AA0D324B44464094C60D56F437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9807-68A1-FD42-9A84-77DC99489B33}"/>
      </w:docPartPr>
      <w:docPartBody>
        <w:p w:rsidR="00E32A21" w:rsidRDefault="00E8523C" w:rsidP="00E8523C">
          <w:pPr>
            <w:pStyle w:val="76AA0D324B44464094C60D56F437742B"/>
          </w:pPr>
          <w:r>
            <w:t>[Type the document title]</w:t>
          </w:r>
        </w:p>
      </w:docPartBody>
    </w:docPart>
    <w:docPart>
      <w:docPartPr>
        <w:name w:val="11E76C5DB0725A4DBCCB6F903C964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D100-2EAE-A844-935A-817B1D78720F}"/>
      </w:docPartPr>
      <w:docPartBody>
        <w:p w:rsidR="00E32A21" w:rsidRDefault="00E8523C" w:rsidP="00E8523C">
          <w:pPr>
            <w:pStyle w:val="11E76C5DB0725A4DBCCB6F903C9647C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C"/>
    <w:rsid w:val="00E32A21"/>
    <w:rsid w:val="00E8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A0D324B44464094C60D56F437742B">
    <w:name w:val="76AA0D324B44464094C60D56F437742B"/>
    <w:rsid w:val="00E8523C"/>
  </w:style>
  <w:style w:type="paragraph" w:customStyle="1" w:styleId="11E76C5DB0725A4DBCCB6F903C9647C0">
    <w:name w:val="11E76C5DB0725A4DBCCB6F903C9647C0"/>
    <w:rsid w:val="00E8523C"/>
  </w:style>
  <w:style w:type="paragraph" w:customStyle="1" w:styleId="8BEDC8B2D71C724DA7CFD79FE84BCF87">
    <w:name w:val="8BEDC8B2D71C724DA7CFD79FE84BCF87"/>
    <w:rsid w:val="00E8523C"/>
  </w:style>
  <w:style w:type="paragraph" w:customStyle="1" w:styleId="41AAD53F23AF1F4B80495CA83A0905D8">
    <w:name w:val="41AAD53F23AF1F4B80495CA83A0905D8"/>
    <w:rsid w:val="00E8523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AA0D324B44464094C60D56F437742B">
    <w:name w:val="76AA0D324B44464094C60D56F437742B"/>
    <w:rsid w:val="00E8523C"/>
  </w:style>
  <w:style w:type="paragraph" w:customStyle="1" w:styleId="11E76C5DB0725A4DBCCB6F903C9647C0">
    <w:name w:val="11E76C5DB0725A4DBCCB6F903C9647C0"/>
    <w:rsid w:val="00E8523C"/>
  </w:style>
  <w:style w:type="paragraph" w:customStyle="1" w:styleId="8BEDC8B2D71C724DA7CFD79FE84BCF87">
    <w:name w:val="8BEDC8B2D71C724DA7CFD79FE84BCF87"/>
    <w:rsid w:val="00E8523C"/>
  </w:style>
  <w:style w:type="paragraph" w:customStyle="1" w:styleId="41AAD53F23AF1F4B80495CA83A0905D8">
    <w:name w:val="41AAD53F23AF1F4B80495CA83A0905D8"/>
    <w:rsid w:val="00E8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2015-08-27T00:00:00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239</Words>
  <Characters>1365</Characters>
  <Application>Microsoft Macintosh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Activity 1.1: Historical comparisons of elevated blood lead levels</dc:title>
  <dc:subject/>
  <dc:creator>Ashley Weibel</dc:creator>
  <cp:keywords/>
  <dc:description/>
  <cp:lastModifiedBy>Joel Hoekstra</cp:lastModifiedBy>
  <cp:revision>6</cp:revision>
  <dcterms:created xsi:type="dcterms:W3CDTF">2015-08-27T20:09:00Z</dcterms:created>
  <dcterms:modified xsi:type="dcterms:W3CDTF">2017-03-07T22:41:00Z</dcterms:modified>
</cp:coreProperties>
</file>