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CBEE" w14:textId="77777777" w:rsidR="00CA5735" w:rsidRPr="004F454F" w:rsidRDefault="00CA5735" w:rsidP="00CA5735">
      <w:pPr>
        <w:spacing w:after="0"/>
        <w:jc w:val="center"/>
        <w:rPr>
          <w:b/>
        </w:rPr>
      </w:pPr>
      <w:r>
        <w:rPr>
          <w:b/>
        </w:rPr>
        <w:t>An Ecosystem Services Approach to Water Resources Module</w:t>
      </w:r>
    </w:p>
    <w:p w14:paraId="112428A1" w14:textId="77777777" w:rsidR="00CA5735" w:rsidRPr="00E74A50" w:rsidRDefault="00CA5735" w:rsidP="00CA5735">
      <w:pPr>
        <w:jc w:val="center"/>
        <w:rPr>
          <w:b/>
        </w:rPr>
      </w:pPr>
      <w:r>
        <w:rPr>
          <w:b/>
        </w:rPr>
        <w:t>Summative Assessment Description</w:t>
      </w:r>
    </w:p>
    <w:p w14:paraId="080EFCC1" w14:textId="0C06D92B" w:rsidR="009A4B0E" w:rsidRDefault="00535EAA" w:rsidP="008B0A8C">
      <w:pPr>
        <w:rPr>
          <w:b/>
        </w:rPr>
      </w:pPr>
      <w:r>
        <w:rPr>
          <w:b/>
        </w:rPr>
        <w:t>Part II</w:t>
      </w:r>
      <w:r w:rsidR="009A4B0E">
        <w:rPr>
          <w:b/>
        </w:rPr>
        <w:t>: Reflective Questions</w:t>
      </w:r>
    </w:p>
    <w:p w14:paraId="597074C3" w14:textId="6928F3C0" w:rsidR="008B0A8C" w:rsidRDefault="00582760" w:rsidP="008B0A8C">
      <w:r>
        <w:t xml:space="preserve">Please complete a well-organized and clearly written paragraph for </w:t>
      </w:r>
      <w:r w:rsidRPr="00DE1AFE">
        <w:rPr>
          <w:b/>
          <w:u w:val="single"/>
        </w:rPr>
        <w:t>each</w:t>
      </w:r>
      <w:r w:rsidR="006D53E8">
        <w:t xml:space="preserve"> prompt </w:t>
      </w:r>
      <w:r>
        <w:t>below:</w:t>
      </w:r>
    </w:p>
    <w:p w14:paraId="176F247E" w14:textId="197D0A09" w:rsidR="001C7123" w:rsidRDefault="001C7123" w:rsidP="001C7123">
      <w:pPr>
        <w:pStyle w:val="ListParagraph"/>
        <w:numPr>
          <w:ilvl w:val="0"/>
          <w:numId w:val="11"/>
        </w:numPr>
      </w:pPr>
      <w:r>
        <w:t xml:space="preserve">Describe, as if to someone who </w:t>
      </w:r>
      <w:r w:rsidR="00474E9B">
        <w:t xml:space="preserve">did not do this module, what an ecosystem services approach </w:t>
      </w:r>
      <w:r w:rsidR="00EA4DE2">
        <w:t xml:space="preserve">entails, both in general terms and in terms of the particular land-use change you were </w:t>
      </w:r>
      <w:r w:rsidR="00437AE2">
        <w:t>asked to consider.</w:t>
      </w:r>
    </w:p>
    <w:p w14:paraId="7B7827FB" w14:textId="6600694A" w:rsidR="009B5B9F" w:rsidRDefault="00803FF9" w:rsidP="00661B34">
      <w:pPr>
        <w:pStyle w:val="ListParagraph"/>
        <w:numPr>
          <w:ilvl w:val="0"/>
          <w:numId w:val="11"/>
        </w:numPr>
      </w:pPr>
      <w:r>
        <w:t xml:space="preserve">In what way(s) </w:t>
      </w:r>
      <w:r w:rsidR="00796522">
        <w:t>is</w:t>
      </w:r>
      <w:r w:rsidR="00FA1CC0">
        <w:t xml:space="preserve"> using </w:t>
      </w:r>
      <w:r w:rsidR="009B5B9F">
        <w:t>a mod</w:t>
      </w:r>
      <w:r w:rsidR="00661B34">
        <w:t xml:space="preserve">eling tool like the </w:t>
      </w:r>
      <w:proofErr w:type="spellStart"/>
      <w:r w:rsidR="00661B34">
        <w:t>Stormwater</w:t>
      </w:r>
      <w:proofErr w:type="spellEnd"/>
      <w:r w:rsidR="00661B34">
        <w:t xml:space="preserve"> Calculator</w:t>
      </w:r>
      <w:r w:rsidR="00FA1CC0">
        <w:t xml:space="preserve"> to </w:t>
      </w:r>
      <w:r w:rsidR="007D2632">
        <w:t>evaluate land-use change different than other way(s)</w:t>
      </w:r>
      <w:r w:rsidR="00BD374D">
        <w:t xml:space="preserve"> you might evaluate</w:t>
      </w:r>
      <w:r w:rsidR="007F0150">
        <w:t xml:space="preserve"> such</w:t>
      </w:r>
      <w:r w:rsidR="00437AE2">
        <w:t xml:space="preserve"> a</w:t>
      </w:r>
      <w:r w:rsidR="007F0150">
        <w:t xml:space="preserve"> change</w:t>
      </w:r>
      <w:r w:rsidR="00D11678">
        <w:t xml:space="preserve">? </w:t>
      </w:r>
      <w:r w:rsidR="006E3716">
        <w:t>That is</w:t>
      </w:r>
      <w:r w:rsidR="006D53E8">
        <w:t xml:space="preserve">, </w:t>
      </w:r>
      <w:r w:rsidR="00437AE2">
        <w:t>discuss</w:t>
      </w:r>
      <w:r w:rsidR="00D13B05">
        <w:t xml:space="preserve"> a few of the advantages and the disadvantages of</w:t>
      </w:r>
      <w:r w:rsidR="00BD374D">
        <w:t xml:space="preserve"> such an approach</w:t>
      </w:r>
      <w:r w:rsidR="00D11678">
        <w:t xml:space="preserve">. </w:t>
      </w:r>
      <w:r w:rsidR="00BD1044">
        <w:t xml:space="preserve">Overall, </w:t>
      </w:r>
      <w:r w:rsidR="00A302EF">
        <w:t>should such an approach form the basis of land-use change decisions?</w:t>
      </w:r>
      <w:r w:rsidR="00D11678">
        <w:t xml:space="preserve"> </w:t>
      </w:r>
      <w:r w:rsidR="003A5B6B">
        <w:t>Why or why not?</w:t>
      </w:r>
    </w:p>
    <w:p w14:paraId="3E58714F" w14:textId="47AC58A7" w:rsidR="003A5B6B" w:rsidRDefault="00947D29" w:rsidP="00661B34">
      <w:pPr>
        <w:pStyle w:val="ListParagraph"/>
        <w:numPr>
          <w:ilvl w:val="0"/>
          <w:numId w:val="11"/>
        </w:numPr>
      </w:pPr>
      <w:r>
        <w:t>Con</w:t>
      </w:r>
      <w:r w:rsidR="007223EA">
        <w:t xml:space="preserve">sider a stakeholder group </w:t>
      </w:r>
      <w:r w:rsidR="004E3795">
        <w:t>wh</w:t>
      </w:r>
      <w:r w:rsidR="00D528E7">
        <w:t xml:space="preserve">ose mission or </w:t>
      </w:r>
      <w:r w:rsidR="00C71511">
        <w:t xml:space="preserve">objectives did not align well with the stakeholder group </w:t>
      </w:r>
      <w:r w:rsidR="004253D4">
        <w:t>you represented</w:t>
      </w:r>
      <w:r w:rsidR="00D11678">
        <w:t>—</w:t>
      </w:r>
      <w:r w:rsidR="00D1777A">
        <w:t>or</w:t>
      </w:r>
      <w:r w:rsidR="0068760B">
        <w:t xml:space="preserve"> </w:t>
      </w:r>
      <w:r w:rsidR="00611F44">
        <w:t xml:space="preserve">consider how your own personal views </w:t>
      </w:r>
      <w:r w:rsidR="00727165">
        <w:t>diverged</w:t>
      </w:r>
      <w:r w:rsidR="00611F44">
        <w:t xml:space="preserve"> from the views</w:t>
      </w:r>
      <w:r w:rsidR="00D11678">
        <w:t xml:space="preserve"> of your stakeholder group. D</w:t>
      </w:r>
      <w:r w:rsidR="00667265">
        <w:t>escribe one value/service</w:t>
      </w:r>
      <w:r w:rsidR="00A97DA0">
        <w:t xml:space="preserve"> of the land that was </w:t>
      </w:r>
      <w:r w:rsidR="003C2351">
        <w:t>significantly different, and</w:t>
      </w:r>
      <w:r w:rsidR="00001CF1">
        <w:t xml:space="preserve"> discuss </w:t>
      </w:r>
      <w:r w:rsidR="00627795">
        <w:t>the reason(s)</w:t>
      </w:r>
      <w:r w:rsidR="005463FE">
        <w:t xml:space="preserve"> </w:t>
      </w:r>
      <w:r w:rsidR="00627795">
        <w:t>for that difference.</w:t>
      </w:r>
    </w:p>
    <w:p w14:paraId="27580ED5" w14:textId="102925DD" w:rsidR="008F4D4E" w:rsidRDefault="008F4D4E">
      <w:r>
        <w:br w:type="page"/>
      </w:r>
    </w:p>
    <w:p w14:paraId="159E5B7D" w14:textId="1F6F751D" w:rsidR="008F4D4E" w:rsidRPr="00F25BAC" w:rsidRDefault="00F25BAC" w:rsidP="00F25BAC">
      <w:pPr>
        <w:jc w:val="center"/>
        <w:rPr>
          <w:b/>
        </w:rPr>
      </w:pPr>
      <w:r>
        <w:rPr>
          <w:b/>
        </w:rPr>
        <w:lastRenderedPageBreak/>
        <w:t>Reflective questions</w:t>
      </w:r>
      <w:r w:rsidRPr="0020101C">
        <w:rPr>
          <w:b/>
        </w:rPr>
        <w:t xml:space="preserve"> grading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520"/>
        <w:gridCol w:w="2610"/>
        <w:gridCol w:w="2283"/>
      </w:tblGrid>
      <w:tr w:rsidR="008F4D4E" w14:paraId="23826A3E" w14:textId="77777777" w:rsidTr="00B748D1">
        <w:tc>
          <w:tcPr>
            <w:tcW w:w="1885" w:type="dxa"/>
            <w:vAlign w:val="center"/>
          </w:tcPr>
          <w:p w14:paraId="2671CC37" w14:textId="77777777" w:rsidR="008F4D4E" w:rsidRDefault="008F4D4E" w:rsidP="000F51D8"/>
        </w:tc>
        <w:tc>
          <w:tcPr>
            <w:tcW w:w="2520" w:type="dxa"/>
            <w:vAlign w:val="center"/>
          </w:tcPr>
          <w:p w14:paraId="76B41A7E" w14:textId="77777777" w:rsidR="008F4D4E" w:rsidRPr="00775657" w:rsidRDefault="008F4D4E" w:rsidP="000F51D8">
            <w:pPr>
              <w:jc w:val="center"/>
              <w:rPr>
                <w:b/>
              </w:rPr>
            </w:pPr>
            <w:r w:rsidRPr="00775657">
              <w:rPr>
                <w:b/>
              </w:rPr>
              <w:t>5</w:t>
            </w:r>
            <w:r>
              <w:rPr>
                <w:b/>
              </w:rPr>
              <w:t xml:space="preserve"> points</w:t>
            </w:r>
          </w:p>
        </w:tc>
        <w:tc>
          <w:tcPr>
            <w:tcW w:w="2610" w:type="dxa"/>
            <w:vAlign w:val="center"/>
          </w:tcPr>
          <w:p w14:paraId="76693CAC" w14:textId="77777777" w:rsidR="008F4D4E" w:rsidRPr="00775657" w:rsidRDefault="008F4D4E" w:rsidP="00F25BAC">
            <w:pPr>
              <w:jc w:val="center"/>
              <w:rPr>
                <w:b/>
              </w:rPr>
            </w:pPr>
            <w:r w:rsidRPr="00775657">
              <w:rPr>
                <w:b/>
              </w:rPr>
              <w:t>3</w:t>
            </w:r>
            <w:r>
              <w:rPr>
                <w:b/>
              </w:rPr>
              <w:t xml:space="preserve"> points</w:t>
            </w:r>
          </w:p>
        </w:tc>
        <w:tc>
          <w:tcPr>
            <w:tcW w:w="2283" w:type="dxa"/>
            <w:vAlign w:val="center"/>
          </w:tcPr>
          <w:p w14:paraId="3E4977B7" w14:textId="77777777" w:rsidR="008F4D4E" w:rsidRPr="00775657" w:rsidRDefault="008F4D4E" w:rsidP="000F51D8">
            <w:pPr>
              <w:jc w:val="center"/>
              <w:rPr>
                <w:b/>
              </w:rPr>
            </w:pPr>
            <w:r w:rsidRPr="00775657">
              <w:rPr>
                <w:b/>
              </w:rPr>
              <w:t>1</w:t>
            </w:r>
            <w:r>
              <w:rPr>
                <w:b/>
              </w:rPr>
              <w:t xml:space="preserve"> point</w:t>
            </w:r>
          </w:p>
        </w:tc>
      </w:tr>
      <w:tr w:rsidR="008F4D4E" w14:paraId="30D966D0" w14:textId="77777777" w:rsidTr="00B748D1">
        <w:tc>
          <w:tcPr>
            <w:tcW w:w="1885" w:type="dxa"/>
            <w:vAlign w:val="center"/>
          </w:tcPr>
          <w:p w14:paraId="5D32A04B" w14:textId="77777777" w:rsidR="008F4D4E" w:rsidRPr="00775657" w:rsidRDefault="008F4D4E" w:rsidP="000F51D8">
            <w:pPr>
              <w:rPr>
                <w:b/>
              </w:rPr>
            </w:pPr>
            <w:r>
              <w:rPr>
                <w:b/>
              </w:rPr>
              <w:t>Describing ecosystem services</w:t>
            </w:r>
          </w:p>
        </w:tc>
        <w:tc>
          <w:tcPr>
            <w:tcW w:w="2520" w:type="dxa"/>
            <w:vAlign w:val="center"/>
          </w:tcPr>
          <w:p w14:paraId="7A3C39EE" w14:textId="772899D5" w:rsidR="008F4D4E" w:rsidRDefault="008F4D4E" w:rsidP="000F51D8">
            <w:pPr>
              <w:jc w:val="center"/>
            </w:pPr>
            <w:r>
              <w:t>Ecosystem services terminology used correctly, ecosystem services approach clearly described, both generally and in terms of the particular land-use change considered in the module.</w:t>
            </w:r>
          </w:p>
        </w:tc>
        <w:tc>
          <w:tcPr>
            <w:tcW w:w="2610" w:type="dxa"/>
            <w:vAlign w:val="center"/>
          </w:tcPr>
          <w:p w14:paraId="738753BF" w14:textId="009DC49E" w:rsidR="008F4D4E" w:rsidRDefault="008F4D4E" w:rsidP="00F25BAC">
            <w:pPr>
              <w:jc w:val="center"/>
            </w:pPr>
            <w:r>
              <w:t>Limited use of ecosystem services terminology, moderate understanding of ecosystem services approach, both generally and in terms of the particular land-use change considered in the module.</w:t>
            </w:r>
          </w:p>
        </w:tc>
        <w:tc>
          <w:tcPr>
            <w:tcW w:w="2283" w:type="dxa"/>
            <w:vAlign w:val="center"/>
          </w:tcPr>
          <w:p w14:paraId="29A4C2FF" w14:textId="7EDE1733" w:rsidR="008F4D4E" w:rsidRDefault="008F4D4E" w:rsidP="000F51D8">
            <w:pPr>
              <w:jc w:val="center"/>
            </w:pPr>
            <w:r>
              <w:t>Ecosystem services terminology not used, ecosystem services approach not defined</w:t>
            </w:r>
            <w:r w:rsidR="00727165">
              <w:t>.</w:t>
            </w:r>
          </w:p>
        </w:tc>
      </w:tr>
      <w:tr w:rsidR="008F4D4E" w14:paraId="533A588F" w14:textId="77777777" w:rsidTr="00B748D1">
        <w:tc>
          <w:tcPr>
            <w:tcW w:w="1885" w:type="dxa"/>
            <w:vAlign w:val="center"/>
          </w:tcPr>
          <w:p w14:paraId="1F49F98E" w14:textId="6B19D4E3" w:rsidR="008F4D4E" w:rsidRPr="00775657" w:rsidRDefault="00315EC2" w:rsidP="008F4D4E">
            <w:pPr>
              <w:rPr>
                <w:b/>
              </w:rPr>
            </w:pPr>
            <w:r>
              <w:rPr>
                <w:b/>
              </w:rPr>
              <w:t>Evaluating an ecosystem</w:t>
            </w:r>
            <w:r w:rsidR="008F4D4E">
              <w:rPr>
                <w:b/>
              </w:rPr>
              <w:t xml:space="preserve"> services approach</w:t>
            </w:r>
          </w:p>
        </w:tc>
        <w:tc>
          <w:tcPr>
            <w:tcW w:w="2520" w:type="dxa"/>
            <w:vAlign w:val="center"/>
          </w:tcPr>
          <w:p w14:paraId="73F774B4" w14:textId="3094DB29" w:rsidR="008F4D4E" w:rsidRDefault="008F4D4E" w:rsidP="00315EC2">
            <w:pPr>
              <w:jc w:val="center"/>
            </w:pPr>
            <w:r>
              <w:t>Clearly describes multiple advantages and disadvantages of ecosystem services</w:t>
            </w:r>
            <w:r w:rsidR="00F25BAC">
              <w:t xml:space="preserve"> approach</w:t>
            </w:r>
            <w:r>
              <w:t>, and evaluation</w:t>
            </w:r>
            <w:r w:rsidR="00315EC2">
              <w:t xml:space="preserve"> of ecosystem services is clearly articulated and directly linked to the specific</w:t>
            </w:r>
            <w:r>
              <w:t xml:space="preserve"> advantages and disadvantages </w:t>
            </w:r>
            <w:r w:rsidR="00315EC2">
              <w:t>described.</w:t>
            </w:r>
          </w:p>
        </w:tc>
        <w:tc>
          <w:tcPr>
            <w:tcW w:w="2610" w:type="dxa"/>
            <w:vAlign w:val="center"/>
          </w:tcPr>
          <w:p w14:paraId="77451F77" w14:textId="59A87694" w:rsidR="008F4D4E" w:rsidRDefault="00315EC2" w:rsidP="00F25BAC">
            <w:pPr>
              <w:jc w:val="center"/>
            </w:pPr>
            <w:r>
              <w:t xml:space="preserve">Only one advantage and/or disadvantage described, and/or evaluation of ecosystem services </w:t>
            </w:r>
            <w:r w:rsidR="00F25BAC">
              <w:t xml:space="preserve">approach </w:t>
            </w:r>
            <w:r>
              <w:t>is not clearly articulated or is not linked to</w:t>
            </w:r>
            <w:r w:rsidR="008F4D4E">
              <w:t xml:space="preserve"> advantages and disadvantages</w:t>
            </w:r>
            <w:r>
              <w:t>.</w:t>
            </w:r>
          </w:p>
        </w:tc>
        <w:tc>
          <w:tcPr>
            <w:tcW w:w="2283" w:type="dxa"/>
            <w:vAlign w:val="center"/>
          </w:tcPr>
          <w:p w14:paraId="31D4FEA9" w14:textId="39D1DC41" w:rsidR="008F4D4E" w:rsidRDefault="00315EC2" w:rsidP="00F25BAC">
            <w:pPr>
              <w:jc w:val="center"/>
            </w:pPr>
            <w:r>
              <w:t>Only one advantage and disadvantage described, and evaluation of ecosystem services</w:t>
            </w:r>
            <w:r w:rsidR="00F25BAC">
              <w:t xml:space="preserve"> approach </w:t>
            </w:r>
            <w:r>
              <w:t>is neither clearly articulated no</w:t>
            </w:r>
            <w:r w:rsidR="00D11678">
              <w:t>r</w:t>
            </w:r>
            <w:bookmarkStart w:id="0" w:name="_GoBack"/>
            <w:bookmarkEnd w:id="0"/>
            <w:r>
              <w:t xml:space="preserve"> linked to</w:t>
            </w:r>
            <w:r w:rsidR="008F4D4E">
              <w:t xml:space="preserve"> advantage or disadvantage</w:t>
            </w:r>
            <w:r>
              <w:t>.</w:t>
            </w:r>
          </w:p>
        </w:tc>
      </w:tr>
      <w:tr w:rsidR="008F4D4E" w14:paraId="16C6D9EC" w14:textId="77777777" w:rsidTr="00B748D1">
        <w:tc>
          <w:tcPr>
            <w:tcW w:w="1885" w:type="dxa"/>
            <w:vAlign w:val="center"/>
          </w:tcPr>
          <w:p w14:paraId="1E383485" w14:textId="77777777" w:rsidR="00B748D1" w:rsidRDefault="008F4D4E" w:rsidP="000F51D8">
            <w:pPr>
              <w:rPr>
                <w:b/>
              </w:rPr>
            </w:pPr>
            <w:r>
              <w:rPr>
                <w:b/>
              </w:rPr>
              <w:t>Assessing how viewpoints affect perspectives/</w:t>
            </w:r>
          </w:p>
          <w:p w14:paraId="04493D21" w14:textId="6D439E97" w:rsidR="008F4D4E" w:rsidRPr="00775657" w:rsidRDefault="008F4D4E" w:rsidP="000F51D8">
            <w:pPr>
              <w:rPr>
                <w:b/>
              </w:rPr>
            </w:pPr>
            <w:proofErr w:type="gramStart"/>
            <w:r>
              <w:rPr>
                <w:b/>
              </w:rPr>
              <w:t>understanding</w:t>
            </w:r>
            <w:proofErr w:type="gramEnd"/>
          </w:p>
        </w:tc>
        <w:tc>
          <w:tcPr>
            <w:tcW w:w="2520" w:type="dxa"/>
            <w:vAlign w:val="center"/>
          </w:tcPr>
          <w:p w14:paraId="08BAD3A3" w14:textId="7EEE79B9" w:rsidR="008F4D4E" w:rsidRDefault="00727165" w:rsidP="00727165">
            <w:pPr>
              <w:jc w:val="center"/>
            </w:pPr>
            <w:r>
              <w:t xml:space="preserve">Clearly describes a significant difference between two </w:t>
            </w:r>
            <w:r w:rsidR="008F4D4E">
              <w:t>viewpoint</w:t>
            </w:r>
            <w:r>
              <w:t>s, and clearly articulates the reason(s) for that difference.</w:t>
            </w:r>
          </w:p>
        </w:tc>
        <w:tc>
          <w:tcPr>
            <w:tcW w:w="2610" w:type="dxa"/>
            <w:vAlign w:val="center"/>
          </w:tcPr>
          <w:p w14:paraId="0255D3FC" w14:textId="5952B43C" w:rsidR="008F4D4E" w:rsidRDefault="00727165" w:rsidP="00F25BAC">
            <w:pPr>
              <w:jc w:val="center"/>
            </w:pPr>
            <w:r>
              <w:t xml:space="preserve">Difference between viewpoints is either not clearly described or not clearly differentiated, or the reason(s) for that difference </w:t>
            </w:r>
            <w:r w:rsidR="00F25BAC">
              <w:t>is</w:t>
            </w:r>
            <w:r>
              <w:t xml:space="preserve"> not well articulated.</w:t>
            </w:r>
          </w:p>
        </w:tc>
        <w:tc>
          <w:tcPr>
            <w:tcW w:w="2283" w:type="dxa"/>
            <w:vAlign w:val="center"/>
          </w:tcPr>
          <w:p w14:paraId="31B20DC4" w14:textId="33973361" w:rsidR="008F4D4E" w:rsidRDefault="00727165" w:rsidP="00F25BAC">
            <w:pPr>
              <w:jc w:val="center"/>
            </w:pPr>
            <w:r>
              <w:t xml:space="preserve">Difference between viewpoints is not clearly described/differentiated, and the reason(s) for that difference </w:t>
            </w:r>
            <w:r w:rsidR="00F25BAC">
              <w:t xml:space="preserve">is </w:t>
            </w:r>
            <w:r>
              <w:t xml:space="preserve">not </w:t>
            </w:r>
            <w:r w:rsidR="00F25BAC">
              <w:t>articulated.</w:t>
            </w:r>
          </w:p>
        </w:tc>
      </w:tr>
      <w:tr w:rsidR="008F4D4E" w14:paraId="3E063B99" w14:textId="77777777" w:rsidTr="00B748D1">
        <w:tc>
          <w:tcPr>
            <w:tcW w:w="1885" w:type="dxa"/>
            <w:vAlign w:val="center"/>
          </w:tcPr>
          <w:p w14:paraId="65A2E250" w14:textId="77777777" w:rsidR="008F4D4E" w:rsidRDefault="008F4D4E" w:rsidP="000F51D8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520" w:type="dxa"/>
            <w:vAlign w:val="center"/>
          </w:tcPr>
          <w:p w14:paraId="34D0FE04" w14:textId="77777777" w:rsidR="008F4D4E" w:rsidRDefault="008F4D4E" w:rsidP="000F51D8">
            <w:pPr>
              <w:jc w:val="center"/>
            </w:pPr>
            <w:r>
              <w:t>High quality writing, good content organization</w:t>
            </w:r>
          </w:p>
        </w:tc>
        <w:tc>
          <w:tcPr>
            <w:tcW w:w="2610" w:type="dxa"/>
            <w:vAlign w:val="center"/>
          </w:tcPr>
          <w:p w14:paraId="50ADA8F5" w14:textId="77777777" w:rsidR="008F4D4E" w:rsidRDefault="008F4D4E" w:rsidP="00F25BAC">
            <w:pPr>
              <w:jc w:val="center"/>
            </w:pPr>
            <w:r>
              <w:t>Writing and organization clear</w:t>
            </w:r>
          </w:p>
        </w:tc>
        <w:tc>
          <w:tcPr>
            <w:tcW w:w="2283" w:type="dxa"/>
            <w:vAlign w:val="center"/>
          </w:tcPr>
          <w:p w14:paraId="3137A01D" w14:textId="77777777" w:rsidR="008F4D4E" w:rsidRDefault="008F4D4E" w:rsidP="000F51D8">
            <w:pPr>
              <w:jc w:val="center"/>
            </w:pPr>
            <w:r>
              <w:t>Multiple grammatical or spelling errors, organization unclear</w:t>
            </w:r>
          </w:p>
        </w:tc>
      </w:tr>
    </w:tbl>
    <w:p w14:paraId="3EB4501A" w14:textId="77777777" w:rsidR="008F4D4E" w:rsidRDefault="008F4D4E" w:rsidP="008F4D4E"/>
    <w:sectPr w:rsidR="008F4D4E" w:rsidSect="00B7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78885" w14:textId="77777777" w:rsidR="007A7933" w:rsidRDefault="007A7933" w:rsidP="00093DEF">
      <w:pPr>
        <w:spacing w:after="0" w:line="240" w:lineRule="auto"/>
      </w:pPr>
      <w:r>
        <w:separator/>
      </w:r>
    </w:p>
  </w:endnote>
  <w:endnote w:type="continuationSeparator" w:id="0">
    <w:p w14:paraId="2EEEBB7E" w14:textId="77777777" w:rsidR="007A7933" w:rsidRDefault="007A7933" w:rsidP="0009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86722" w14:textId="77777777" w:rsidR="007A7933" w:rsidRDefault="007A7933" w:rsidP="00093DEF">
      <w:pPr>
        <w:spacing w:after="0" w:line="240" w:lineRule="auto"/>
      </w:pPr>
      <w:r>
        <w:separator/>
      </w:r>
    </w:p>
  </w:footnote>
  <w:footnote w:type="continuationSeparator" w:id="0">
    <w:p w14:paraId="1D601B20" w14:textId="77777777" w:rsidR="007A7933" w:rsidRDefault="007A7933" w:rsidP="0009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5F7"/>
    <w:multiLevelType w:val="hybridMultilevel"/>
    <w:tmpl w:val="B198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791A"/>
    <w:multiLevelType w:val="hybridMultilevel"/>
    <w:tmpl w:val="7064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04C4"/>
    <w:multiLevelType w:val="hybridMultilevel"/>
    <w:tmpl w:val="FCAE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B74"/>
    <w:multiLevelType w:val="hybridMultilevel"/>
    <w:tmpl w:val="7EC2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6B12"/>
    <w:multiLevelType w:val="hybridMultilevel"/>
    <w:tmpl w:val="FCAE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6992"/>
    <w:multiLevelType w:val="hybridMultilevel"/>
    <w:tmpl w:val="AE46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73E5D"/>
    <w:multiLevelType w:val="hybridMultilevel"/>
    <w:tmpl w:val="82C0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7135"/>
    <w:multiLevelType w:val="hybridMultilevel"/>
    <w:tmpl w:val="FCAE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C419C"/>
    <w:multiLevelType w:val="hybridMultilevel"/>
    <w:tmpl w:val="FCAE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EA9"/>
    <w:multiLevelType w:val="hybridMultilevel"/>
    <w:tmpl w:val="1DD03AD8"/>
    <w:lvl w:ilvl="0" w:tplc="D0A62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CB75B0"/>
    <w:multiLevelType w:val="hybridMultilevel"/>
    <w:tmpl w:val="7896AF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B"/>
    <w:rsid w:val="00001CF1"/>
    <w:rsid w:val="00005034"/>
    <w:rsid w:val="000161BB"/>
    <w:rsid w:val="0003479D"/>
    <w:rsid w:val="00066B7B"/>
    <w:rsid w:val="00077617"/>
    <w:rsid w:val="00093DEF"/>
    <w:rsid w:val="00094094"/>
    <w:rsid w:val="000A76E9"/>
    <w:rsid w:val="000D1E44"/>
    <w:rsid w:val="000D3C07"/>
    <w:rsid w:val="00166755"/>
    <w:rsid w:val="001C7123"/>
    <w:rsid w:val="001F37DC"/>
    <w:rsid w:val="001F5589"/>
    <w:rsid w:val="0020101C"/>
    <w:rsid w:val="002112A6"/>
    <w:rsid w:val="00214768"/>
    <w:rsid w:val="00214D2D"/>
    <w:rsid w:val="00223A8C"/>
    <w:rsid w:val="00234DB1"/>
    <w:rsid w:val="00237156"/>
    <w:rsid w:val="002524FD"/>
    <w:rsid w:val="00252F24"/>
    <w:rsid w:val="002804C1"/>
    <w:rsid w:val="002804CF"/>
    <w:rsid w:val="00291CF0"/>
    <w:rsid w:val="002D5058"/>
    <w:rsid w:val="00303A6B"/>
    <w:rsid w:val="003043E7"/>
    <w:rsid w:val="00315EC2"/>
    <w:rsid w:val="003A1187"/>
    <w:rsid w:val="003A2005"/>
    <w:rsid w:val="003A5B6B"/>
    <w:rsid w:val="003B3BEB"/>
    <w:rsid w:val="003C2351"/>
    <w:rsid w:val="003C2A2F"/>
    <w:rsid w:val="003E1AEE"/>
    <w:rsid w:val="003F0449"/>
    <w:rsid w:val="0041673E"/>
    <w:rsid w:val="004253D4"/>
    <w:rsid w:val="00437AE2"/>
    <w:rsid w:val="00454CF9"/>
    <w:rsid w:val="00474E9B"/>
    <w:rsid w:val="004824FF"/>
    <w:rsid w:val="004A0013"/>
    <w:rsid w:val="004A35DD"/>
    <w:rsid w:val="004B0082"/>
    <w:rsid w:val="004C619B"/>
    <w:rsid w:val="004E3795"/>
    <w:rsid w:val="004E68EB"/>
    <w:rsid w:val="00511043"/>
    <w:rsid w:val="0051217F"/>
    <w:rsid w:val="00515F37"/>
    <w:rsid w:val="00516089"/>
    <w:rsid w:val="005234F1"/>
    <w:rsid w:val="005349E4"/>
    <w:rsid w:val="00535EAA"/>
    <w:rsid w:val="005463FE"/>
    <w:rsid w:val="0055222B"/>
    <w:rsid w:val="00557F6C"/>
    <w:rsid w:val="00582760"/>
    <w:rsid w:val="00597248"/>
    <w:rsid w:val="005A0BA4"/>
    <w:rsid w:val="005F493A"/>
    <w:rsid w:val="00600408"/>
    <w:rsid w:val="00605197"/>
    <w:rsid w:val="00611F44"/>
    <w:rsid w:val="0061566A"/>
    <w:rsid w:val="0062218E"/>
    <w:rsid w:val="00627795"/>
    <w:rsid w:val="00637CCA"/>
    <w:rsid w:val="00660DB8"/>
    <w:rsid w:val="00661716"/>
    <w:rsid w:val="00661B34"/>
    <w:rsid w:val="00667265"/>
    <w:rsid w:val="0068760B"/>
    <w:rsid w:val="0069605C"/>
    <w:rsid w:val="006B4AA8"/>
    <w:rsid w:val="006C7D19"/>
    <w:rsid w:val="006D53E8"/>
    <w:rsid w:val="006E3716"/>
    <w:rsid w:val="006E5924"/>
    <w:rsid w:val="006F2751"/>
    <w:rsid w:val="00717F2F"/>
    <w:rsid w:val="007223EA"/>
    <w:rsid w:val="00727165"/>
    <w:rsid w:val="00754F1D"/>
    <w:rsid w:val="007657F5"/>
    <w:rsid w:val="007766AB"/>
    <w:rsid w:val="00786975"/>
    <w:rsid w:val="00796522"/>
    <w:rsid w:val="007A3ADF"/>
    <w:rsid w:val="007A7933"/>
    <w:rsid w:val="007B3451"/>
    <w:rsid w:val="007D2632"/>
    <w:rsid w:val="007F0150"/>
    <w:rsid w:val="008036BB"/>
    <w:rsid w:val="00803FF9"/>
    <w:rsid w:val="00826805"/>
    <w:rsid w:val="00826DC0"/>
    <w:rsid w:val="00862213"/>
    <w:rsid w:val="00876F49"/>
    <w:rsid w:val="008B0A8C"/>
    <w:rsid w:val="008B384E"/>
    <w:rsid w:val="008B537A"/>
    <w:rsid w:val="008D2FDB"/>
    <w:rsid w:val="008F4D4E"/>
    <w:rsid w:val="00914E4B"/>
    <w:rsid w:val="00920386"/>
    <w:rsid w:val="00937FE2"/>
    <w:rsid w:val="009415B4"/>
    <w:rsid w:val="00947D29"/>
    <w:rsid w:val="0095418F"/>
    <w:rsid w:val="009663D8"/>
    <w:rsid w:val="0096649B"/>
    <w:rsid w:val="0097181C"/>
    <w:rsid w:val="00993128"/>
    <w:rsid w:val="009A4B0E"/>
    <w:rsid w:val="009B5B9F"/>
    <w:rsid w:val="009C4BCE"/>
    <w:rsid w:val="009D3F31"/>
    <w:rsid w:val="00A10755"/>
    <w:rsid w:val="00A302EF"/>
    <w:rsid w:val="00A42AD3"/>
    <w:rsid w:val="00A474EC"/>
    <w:rsid w:val="00A5712C"/>
    <w:rsid w:val="00A81EBB"/>
    <w:rsid w:val="00A97DA0"/>
    <w:rsid w:val="00AA29BD"/>
    <w:rsid w:val="00AE31F2"/>
    <w:rsid w:val="00AF0E7F"/>
    <w:rsid w:val="00AF7556"/>
    <w:rsid w:val="00B04BEB"/>
    <w:rsid w:val="00B25F25"/>
    <w:rsid w:val="00B574EF"/>
    <w:rsid w:val="00B71902"/>
    <w:rsid w:val="00B7217B"/>
    <w:rsid w:val="00B748D1"/>
    <w:rsid w:val="00BC6B32"/>
    <w:rsid w:val="00BD1044"/>
    <w:rsid w:val="00BD1117"/>
    <w:rsid w:val="00BD374D"/>
    <w:rsid w:val="00BD4EAF"/>
    <w:rsid w:val="00BE48A8"/>
    <w:rsid w:val="00BF63E2"/>
    <w:rsid w:val="00C045E9"/>
    <w:rsid w:val="00C242C8"/>
    <w:rsid w:val="00C40161"/>
    <w:rsid w:val="00C54A16"/>
    <w:rsid w:val="00C5613F"/>
    <w:rsid w:val="00C646C7"/>
    <w:rsid w:val="00C71511"/>
    <w:rsid w:val="00C87A3E"/>
    <w:rsid w:val="00CA5735"/>
    <w:rsid w:val="00CE1101"/>
    <w:rsid w:val="00D046B9"/>
    <w:rsid w:val="00D109C6"/>
    <w:rsid w:val="00D11678"/>
    <w:rsid w:val="00D13B05"/>
    <w:rsid w:val="00D1777A"/>
    <w:rsid w:val="00D20A75"/>
    <w:rsid w:val="00D3527A"/>
    <w:rsid w:val="00D46254"/>
    <w:rsid w:val="00D50F7C"/>
    <w:rsid w:val="00D528E7"/>
    <w:rsid w:val="00D57045"/>
    <w:rsid w:val="00D93B1E"/>
    <w:rsid w:val="00DB40D4"/>
    <w:rsid w:val="00DB43DB"/>
    <w:rsid w:val="00DC3B16"/>
    <w:rsid w:val="00DE1AFE"/>
    <w:rsid w:val="00DE238B"/>
    <w:rsid w:val="00DE7B2B"/>
    <w:rsid w:val="00E07D8B"/>
    <w:rsid w:val="00E13F03"/>
    <w:rsid w:val="00E330BE"/>
    <w:rsid w:val="00E46EF8"/>
    <w:rsid w:val="00E64E07"/>
    <w:rsid w:val="00E73E10"/>
    <w:rsid w:val="00E74A50"/>
    <w:rsid w:val="00E82611"/>
    <w:rsid w:val="00E8705C"/>
    <w:rsid w:val="00EA4DE2"/>
    <w:rsid w:val="00ED2CB1"/>
    <w:rsid w:val="00EF26F9"/>
    <w:rsid w:val="00EF3CBE"/>
    <w:rsid w:val="00EF49B2"/>
    <w:rsid w:val="00F21838"/>
    <w:rsid w:val="00F25BAC"/>
    <w:rsid w:val="00F70622"/>
    <w:rsid w:val="00F81819"/>
    <w:rsid w:val="00FA1931"/>
    <w:rsid w:val="00FA1CC0"/>
    <w:rsid w:val="00FA7A98"/>
    <w:rsid w:val="00FD2BA6"/>
    <w:rsid w:val="00FD7C51"/>
    <w:rsid w:val="00FE13CC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AF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B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5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D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DEF"/>
    <w:rPr>
      <w:vertAlign w:val="superscript"/>
    </w:rPr>
  </w:style>
  <w:style w:type="table" w:styleId="TableGrid">
    <w:name w:val="Table Grid"/>
    <w:basedOn w:val="TableNormal"/>
    <w:uiPriority w:val="39"/>
    <w:rsid w:val="00BD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58"/>
  </w:style>
  <w:style w:type="paragraph" w:styleId="Footer">
    <w:name w:val="footer"/>
    <w:basedOn w:val="Normal"/>
    <w:link w:val="FooterChar"/>
    <w:uiPriority w:val="99"/>
    <w:unhideWhenUsed/>
    <w:rsid w:val="002D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B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5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D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DEF"/>
    <w:rPr>
      <w:vertAlign w:val="superscript"/>
    </w:rPr>
  </w:style>
  <w:style w:type="table" w:styleId="TableGrid">
    <w:name w:val="Table Grid"/>
    <w:basedOn w:val="TableNormal"/>
    <w:uiPriority w:val="39"/>
    <w:rsid w:val="00BD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58"/>
  </w:style>
  <w:style w:type="paragraph" w:styleId="Footer">
    <w:name w:val="footer"/>
    <w:basedOn w:val="Normal"/>
    <w:link w:val="FooterChar"/>
    <w:uiPriority w:val="99"/>
    <w:unhideWhenUsed/>
    <w:rsid w:val="002D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9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9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2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0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57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3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Joy Riggs</cp:lastModifiedBy>
  <cp:revision>3</cp:revision>
  <dcterms:created xsi:type="dcterms:W3CDTF">2016-06-29T16:36:00Z</dcterms:created>
  <dcterms:modified xsi:type="dcterms:W3CDTF">2016-09-04T23:23:00Z</dcterms:modified>
</cp:coreProperties>
</file>