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4FA9" w14:textId="66C48CCC" w:rsidR="00141E8F" w:rsidRPr="00E61B4B" w:rsidRDefault="00141E8F" w:rsidP="00E61B4B">
      <w:pPr>
        <w:spacing w:after="120"/>
        <w:rPr>
          <w:rFonts w:eastAsia="Times New Roman" w:cs="Times New Roman"/>
        </w:rPr>
      </w:pPr>
      <w:r>
        <w:rPr>
          <w:rFonts w:eastAsia="Times New Roman" w:cs="Times New Roman"/>
        </w:rPr>
        <w:t xml:space="preserve">Active Learning Strategies </w:t>
      </w:r>
      <w:r w:rsidR="00B00757">
        <w:rPr>
          <w:rFonts w:eastAsia="Times New Roman" w:cs="Times New Roman"/>
        </w:rPr>
        <w:t>to</w:t>
      </w:r>
      <w:r>
        <w:rPr>
          <w:rFonts w:eastAsia="Times New Roman" w:cs="Times New Roman"/>
        </w:rPr>
        <w:t xml:space="preserve"> review. </w:t>
      </w:r>
    </w:p>
    <w:tbl>
      <w:tblPr>
        <w:tblStyle w:val="TableGrid"/>
        <w:tblW w:w="9648" w:type="dxa"/>
        <w:tblLayout w:type="fixed"/>
        <w:tblCellMar>
          <w:left w:w="29" w:type="dxa"/>
          <w:right w:w="43" w:type="dxa"/>
        </w:tblCellMar>
        <w:tblLook w:val="04A0" w:firstRow="1" w:lastRow="0" w:firstColumn="1" w:lastColumn="0" w:noHBand="0" w:noVBand="1"/>
      </w:tblPr>
      <w:tblGrid>
        <w:gridCol w:w="426"/>
        <w:gridCol w:w="7539"/>
        <w:gridCol w:w="490"/>
        <w:gridCol w:w="544"/>
        <w:gridCol w:w="649"/>
      </w:tblGrid>
      <w:tr w:rsidR="00571B07" w:rsidRPr="00DF0B8F" w14:paraId="119906DE" w14:textId="05D8D437" w:rsidTr="00BB50FC">
        <w:tc>
          <w:tcPr>
            <w:tcW w:w="426" w:type="dxa"/>
          </w:tcPr>
          <w:p w14:paraId="047BCC79" w14:textId="17D5401C" w:rsidR="00571B07" w:rsidRPr="00DF0B8F" w:rsidRDefault="00571B07" w:rsidP="006E439E">
            <w:pPr>
              <w:spacing w:after="120"/>
              <w:jc w:val="both"/>
              <w:rPr>
                <w:rFonts w:eastAsia="Times New Roman" w:cs="Times New Roman"/>
              </w:rPr>
            </w:pPr>
            <w:r>
              <w:rPr>
                <w:rFonts w:eastAsia="Times New Roman" w:cs="Times New Roman"/>
              </w:rPr>
              <w:t>#</w:t>
            </w:r>
          </w:p>
        </w:tc>
        <w:tc>
          <w:tcPr>
            <w:tcW w:w="7539" w:type="dxa"/>
          </w:tcPr>
          <w:p w14:paraId="59F56D19" w14:textId="6B0938C1" w:rsidR="00571B07" w:rsidRPr="00DF0B8F" w:rsidRDefault="00571B07" w:rsidP="006E439E">
            <w:pPr>
              <w:spacing w:after="120"/>
              <w:jc w:val="both"/>
              <w:rPr>
                <w:rFonts w:eastAsia="Times New Roman" w:cs="Times New Roman"/>
              </w:rPr>
            </w:pPr>
            <w:r>
              <w:rPr>
                <w:rFonts w:eastAsia="Times New Roman" w:cs="Times New Roman"/>
              </w:rPr>
              <w:t xml:space="preserve">Description </w:t>
            </w:r>
          </w:p>
        </w:tc>
        <w:tc>
          <w:tcPr>
            <w:tcW w:w="490" w:type="dxa"/>
          </w:tcPr>
          <w:p w14:paraId="376750F1" w14:textId="3EC71023" w:rsidR="00571B07" w:rsidRPr="00DF0B8F" w:rsidRDefault="00571B07" w:rsidP="00571B07">
            <w:pPr>
              <w:spacing w:after="120"/>
              <w:rPr>
                <w:rFonts w:eastAsia="Times New Roman" w:cs="Times New Roman"/>
              </w:rPr>
            </w:pPr>
            <w:r>
              <w:rPr>
                <w:rFonts w:eastAsia="Times New Roman" w:cs="Times New Roman"/>
              </w:rPr>
              <w:t>Stud Ease</w:t>
            </w:r>
          </w:p>
        </w:tc>
        <w:tc>
          <w:tcPr>
            <w:tcW w:w="544" w:type="dxa"/>
          </w:tcPr>
          <w:p w14:paraId="039578A8" w14:textId="75C2F211" w:rsidR="00571B07" w:rsidRPr="00DF0B8F" w:rsidRDefault="00571B07" w:rsidP="00571B07">
            <w:pPr>
              <w:spacing w:after="120"/>
              <w:rPr>
                <w:rFonts w:eastAsia="Times New Roman" w:cs="Times New Roman"/>
              </w:rPr>
            </w:pPr>
            <w:r>
              <w:rPr>
                <w:rFonts w:eastAsia="Times New Roman" w:cs="Times New Roman"/>
              </w:rPr>
              <w:t>Instr Prep</w:t>
            </w:r>
          </w:p>
        </w:tc>
        <w:tc>
          <w:tcPr>
            <w:tcW w:w="649" w:type="dxa"/>
          </w:tcPr>
          <w:p w14:paraId="6A520052" w14:textId="17B97732" w:rsidR="00571B07" w:rsidRPr="00DF0B8F" w:rsidRDefault="00571B07" w:rsidP="00571B07">
            <w:pPr>
              <w:spacing w:after="120"/>
              <w:rPr>
                <w:rFonts w:eastAsia="Times New Roman" w:cs="Times New Roman"/>
              </w:rPr>
            </w:pPr>
            <w:r>
              <w:rPr>
                <w:rFonts w:eastAsia="Times New Roman" w:cs="Times New Roman"/>
              </w:rPr>
              <w:t>Instr Assmt</w:t>
            </w:r>
          </w:p>
        </w:tc>
      </w:tr>
      <w:tr w:rsidR="00571B07" w:rsidRPr="00DF0B8F" w14:paraId="159B7666" w14:textId="66E3286C" w:rsidTr="00BB50FC">
        <w:trPr>
          <w:cantSplit/>
        </w:trPr>
        <w:tc>
          <w:tcPr>
            <w:tcW w:w="426" w:type="dxa"/>
          </w:tcPr>
          <w:p w14:paraId="25231F00" w14:textId="6F9F4F46" w:rsidR="00571B07" w:rsidRPr="00DF0B8F" w:rsidRDefault="00571B07" w:rsidP="006E439E">
            <w:pPr>
              <w:spacing w:after="120"/>
              <w:jc w:val="both"/>
              <w:rPr>
                <w:rFonts w:eastAsia="Times New Roman" w:cs="Times New Roman"/>
              </w:rPr>
            </w:pPr>
            <w:r>
              <w:rPr>
                <w:rFonts w:eastAsia="Times New Roman" w:cs="Times New Roman"/>
              </w:rPr>
              <w:t>1</w:t>
            </w:r>
          </w:p>
        </w:tc>
        <w:tc>
          <w:tcPr>
            <w:tcW w:w="7539" w:type="dxa"/>
          </w:tcPr>
          <w:p w14:paraId="7DA24B50" w14:textId="19EF190B" w:rsidR="00571B07" w:rsidRPr="006E439E" w:rsidRDefault="00571B07" w:rsidP="00C10D12">
            <w:pPr>
              <w:spacing w:after="120"/>
              <w:jc w:val="both"/>
              <w:rPr>
                <w:rFonts w:eastAsia="Times New Roman" w:cs="Times New Roman"/>
              </w:rPr>
            </w:pPr>
            <w:hyperlink r:id="rId7" w:history="1">
              <w:r w:rsidRPr="006E439E">
                <w:rPr>
                  <w:rFonts w:eastAsia="Times New Roman" w:cs="Times New Roman"/>
                  <w:color w:val="0000FF"/>
                  <w:u w:val="single"/>
                </w:rPr>
                <w:t>Think Pair Share</w:t>
              </w:r>
            </w:hyperlink>
            <w:r w:rsidRPr="00DF0B8F">
              <w:rPr>
                <w:rFonts w:eastAsia="Times New Roman" w:cs="Times New Roman"/>
              </w:rPr>
              <w:t>: students ponder the answer to a question and then share their thoughts with a neighbor.</w:t>
            </w:r>
            <w:r w:rsidRPr="006E439E">
              <w:rPr>
                <w:rFonts w:eastAsia="Times New Roman" w:cs="Times New Roman"/>
              </w:rPr>
              <w:t xml:space="preserve"> </w:t>
            </w:r>
            <w:r>
              <w:rPr>
                <w:rFonts w:eastAsia="Times New Roman" w:cs="Times New Roman"/>
              </w:rPr>
              <w:t xml:space="preserve">Examples are included at the first site, here is another </w:t>
            </w:r>
            <w:hyperlink r:id="rId8" w:history="1">
              <w:r w:rsidRPr="006E439E">
                <w:rPr>
                  <w:rStyle w:val="Hyperlink"/>
                  <w:rFonts w:eastAsia="Times New Roman" w:cs="Times New Roman"/>
                </w:rPr>
                <w:t xml:space="preserve">example </w:t>
              </w:r>
            </w:hyperlink>
            <w:r w:rsidRPr="006E439E">
              <w:rPr>
                <w:rFonts w:eastAsia="Times New Roman" w:cs="Times New Roman"/>
              </w:rPr>
              <w:t xml:space="preserve"> that uses T</w:t>
            </w:r>
            <w:r>
              <w:rPr>
                <w:rFonts w:eastAsia="Times New Roman" w:cs="Times New Roman"/>
              </w:rPr>
              <w:t>PS</w:t>
            </w:r>
          </w:p>
        </w:tc>
        <w:tc>
          <w:tcPr>
            <w:tcW w:w="490" w:type="dxa"/>
          </w:tcPr>
          <w:p w14:paraId="56304A33" w14:textId="77777777" w:rsidR="00571B07" w:rsidRPr="00DF0B8F" w:rsidRDefault="00571B07" w:rsidP="006E439E">
            <w:pPr>
              <w:spacing w:after="120"/>
              <w:ind w:left="360"/>
              <w:rPr>
                <w:rFonts w:eastAsia="Times New Roman" w:cs="Times New Roman"/>
              </w:rPr>
            </w:pPr>
          </w:p>
        </w:tc>
        <w:tc>
          <w:tcPr>
            <w:tcW w:w="544" w:type="dxa"/>
          </w:tcPr>
          <w:p w14:paraId="46EC8DCB" w14:textId="77777777" w:rsidR="00571B07" w:rsidRPr="00DF0B8F" w:rsidRDefault="00571B07" w:rsidP="006E439E">
            <w:pPr>
              <w:spacing w:after="120"/>
              <w:ind w:left="360"/>
              <w:rPr>
                <w:rFonts w:eastAsia="Times New Roman" w:cs="Times New Roman"/>
              </w:rPr>
            </w:pPr>
          </w:p>
        </w:tc>
        <w:tc>
          <w:tcPr>
            <w:tcW w:w="649" w:type="dxa"/>
          </w:tcPr>
          <w:p w14:paraId="3392A0E2" w14:textId="18426A16" w:rsidR="00571B07" w:rsidRPr="00DF0B8F" w:rsidRDefault="00571B07" w:rsidP="006E439E">
            <w:pPr>
              <w:spacing w:after="120"/>
              <w:ind w:left="360"/>
              <w:rPr>
                <w:rFonts w:eastAsia="Times New Roman" w:cs="Times New Roman"/>
              </w:rPr>
            </w:pPr>
          </w:p>
        </w:tc>
      </w:tr>
      <w:tr w:rsidR="00571B07" w:rsidRPr="00DF0B8F" w14:paraId="449DA90D" w14:textId="1B32DC4A" w:rsidTr="00BB50FC">
        <w:trPr>
          <w:cantSplit/>
        </w:trPr>
        <w:tc>
          <w:tcPr>
            <w:tcW w:w="426" w:type="dxa"/>
          </w:tcPr>
          <w:p w14:paraId="0DFFFBBB" w14:textId="4344458B" w:rsidR="00571B07" w:rsidRPr="00DF0B8F" w:rsidRDefault="00571B07" w:rsidP="006E439E">
            <w:pPr>
              <w:spacing w:after="120"/>
              <w:jc w:val="both"/>
              <w:rPr>
                <w:rFonts w:eastAsia="Times New Roman" w:cs="Times New Roman"/>
              </w:rPr>
            </w:pPr>
            <w:r>
              <w:rPr>
                <w:rFonts w:eastAsia="Times New Roman" w:cs="Times New Roman"/>
              </w:rPr>
              <w:t>2</w:t>
            </w:r>
          </w:p>
        </w:tc>
        <w:tc>
          <w:tcPr>
            <w:tcW w:w="7539" w:type="dxa"/>
          </w:tcPr>
          <w:p w14:paraId="0819E1CD" w14:textId="0B0D07E9" w:rsidR="00571B07" w:rsidRPr="006E439E" w:rsidRDefault="00571B07" w:rsidP="00C10D12">
            <w:pPr>
              <w:spacing w:after="120"/>
              <w:jc w:val="both"/>
              <w:rPr>
                <w:rFonts w:eastAsia="Times New Roman" w:cs="Times New Roman"/>
              </w:rPr>
            </w:pPr>
            <w:hyperlink r:id="rId9" w:history="1">
              <w:r w:rsidRPr="006E439E">
                <w:rPr>
                  <w:rFonts w:eastAsia="Times New Roman" w:cs="Times New Roman"/>
                  <w:color w:val="0000FF"/>
                  <w:u w:val="single"/>
                </w:rPr>
                <w:t>Role Playing</w:t>
              </w:r>
            </w:hyperlink>
            <w:r w:rsidRPr="00DF0B8F">
              <w:rPr>
                <w:rFonts w:eastAsia="Times New Roman" w:cs="Times New Roman"/>
              </w:rPr>
              <w:t xml:space="preserve">: </w:t>
            </w:r>
            <w:r>
              <w:rPr>
                <w:rFonts w:eastAsia="Times New Roman" w:cs="Times New Roman"/>
              </w:rPr>
              <w:t>S</w:t>
            </w:r>
            <w:r w:rsidRPr="00DF0B8F">
              <w:rPr>
                <w:rFonts w:eastAsia="Times New Roman" w:cs="Times New Roman"/>
              </w:rPr>
              <w:t>tudent</w:t>
            </w:r>
            <w:r>
              <w:rPr>
                <w:rFonts w:eastAsia="Times New Roman" w:cs="Times New Roman"/>
              </w:rPr>
              <w:t>s</w:t>
            </w:r>
            <w:r w:rsidRPr="00DF0B8F">
              <w:rPr>
                <w:rFonts w:eastAsia="Times New Roman" w:cs="Times New Roman"/>
              </w:rPr>
              <w:t xml:space="preserve"> takes the role of a person</w:t>
            </w:r>
            <w:r w:rsidRPr="006E439E">
              <w:rPr>
                <w:rFonts w:eastAsia="Times New Roman" w:cs="Times New Roman"/>
              </w:rPr>
              <w:t xml:space="preserve"> who will affect or be</w:t>
            </w:r>
            <w:r w:rsidRPr="00DF0B8F">
              <w:rPr>
                <w:rFonts w:eastAsia="Times New Roman" w:cs="Times New Roman"/>
              </w:rPr>
              <w:t xml:space="preserve"> affected by an Earth science issue, such as a </w:t>
            </w:r>
            <w:r>
              <w:rPr>
                <w:rFonts w:eastAsia="Times New Roman" w:cs="Times New Roman"/>
              </w:rPr>
              <w:t>potential natural hazard, new use of land (mining, parking lot)</w:t>
            </w:r>
            <w:r w:rsidRPr="00DF0B8F">
              <w:rPr>
                <w:rFonts w:eastAsia="Times New Roman" w:cs="Times New Roman"/>
              </w:rPr>
              <w:t xml:space="preserve"> or a polluted lake</w:t>
            </w:r>
            <w:r>
              <w:rPr>
                <w:rFonts w:eastAsia="Times New Roman" w:cs="Times New Roman"/>
              </w:rPr>
              <w:t>. Students study</w:t>
            </w:r>
            <w:r w:rsidRPr="00DF0B8F">
              <w:rPr>
                <w:rFonts w:eastAsia="Times New Roman" w:cs="Times New Roman"/>
              </w:rPr>
              <w:t xml:space="preserve"> the impacts of </w:t>
            </w:r>
            <w:r>
              <w:rPr>
                <w:rFonts w:eastAsia="Times New Roman" w:cs="Times New Roman"/>
              </w:rPr>
              <w:t>the issue</w:t>
            </w:r>
            <w:r w:rsidRPr="00DF0B8F">
              <w:rPr>
                <w:rFonts w:eastAsia="Times New Roman" w:cs="Times New Roman"/>
              </w:rPr>
              <w:t xml:space="preserve"> </w:t>
            </w:r>
            <w:r>
              <w:rPr>
                <w:rFonts w:eastAsia="Times New Roman" w:cs="Times New Roman"/>
              </w:rPr>
              <w:t>and presents the assigned perspectives. This link includes example activities.</w:t>
            </w:r>
          </w:p>
        </w:tc>
        <w:tc>
          <w:tcPr>
            <w:tcW w:w="490" w:type="dxa"/>
          </w:tcPr>
          <w:p w14:paraId="63F83888" w14:textId="77777777" w:rsidR="00571B07" w:rsidRPr="00DF0B8F" w:rsidRDefault="00571B07" w:rsidP="006E439E">
            <w:pPr>
              <w:spacing w:after="120"/>
              <w:ind w:left="720"/>
              <w:rPr>
                <w:rFonts w:eastAsia="Times New Roman" w:cs="Times New Roman"/>
              </w:rPr>
            </w:pPr>
          </w:p>
        </w:tc>
        <w:tc>
          <w:tcPr>
            <w:tcW w:w="544" w:type="dxa"/>
          </w:tcPr>
          <w:p w14:paraId="6DE2D724" w14:textId="77777777" w:rsidR="00571B07" w:rsidRPr="00DF0B8F" w:rsidRDefault="00571B07" w:rsidP="006E439E">
            <w:pPr>
              <w:spacing w:after="120"/>
              <w:ind w:left="720"/>
              <w:rPr>
                <w:rFonts w:eastAsia="Times New Roman" w:cs="Times New Roman"/>
              </w:rPr>
            </w:pPr>
          </w:p>
        </w:tc>
        <w:tc>
          <w:tcPr>
            <w:tcW w:w="649" w:type="dxa"/>
          </w:tcPr>
          <w:p w14:paraId="0939C2BA" w14:textId="7C0884FD" w:rsidR="00571B07" w:rsidRPr="00DF0B8F" w:rsidRDefault="00571B07" w:rsidP="006E439E">
            <w:pPr>
              <w:spacing w:after="120"/>
              <w:ind w:left="720"/>
              <w:rPr>
                <w:rFonts w:eastAsia="Times New Roman" w:cs="Times New Roman"/>
              </w:rPr>
            </w:pPr>
          </w:p>
        </w:tc>
      </w:tr>
      <w:tr w:rsidR="00571B07" w:rsidRPr="00DF0B8F" w14:paraId="3B16CD22" w14:textId="77777777" w:rsidTr="00BB50FC">
        <w:trPr>
          <w:cantSplit/>
        </w:trPr>
        <w:tc>
          <w:tcPr>
            <w:tcW w:w="426" w:type="dxa"/>
          </w:tcPr>
          <w:p w14:paraId="50DF096C" w14:textId="74C86E09" w:rsidR="00571B07" w:rsidRDefault="00571B07" w:rsidP="006E439E">
            <w:pPr>
              <w:spacing w:after="120"/>
              <w:jc w:val="both"/>
              <w:rPr>
                <w:rFonts w:eastAsia="Times New Roman" w:cs="Times New Roman"/>
              </w:rPr>
            </w:pPr>
            <w:r>
              <w:rPr>
                <w:rFonts w:eastAsia="Times New Roman" w:cs="Times New Roman"/>
              </w:rPr>
              <w:t>3</w:t>
            </w:r>
          </w:p>
        </w:tc>
        <w:tc>
          <w:tcPr>
            <w:tcW w:w="7539" w:type="dxa"/>
          </w:tcPr>
          <w:p w14:paraId="1779441C" w14:textId="6F20DD68" w:rsidR="00571B07" w:rsidRDefault="00571B07" w:rsidP="00C10D12">
            <w:pPr>
              <w:spacing w:after="120"/>
              <w:jc w:val="both"/>
            </w:pPr>
            <w:hyperlink r:id="rId10" w:history="1">
              <w:r w:rsidRPr="00E61B4B">
                <w:rPr>
                  <w:rFonts w:eastAsia="Times New Roman" w:cs="Times New Roman"/>
                  <w:color w:val="0000FF"/>
                  <w:u w:val="single"/>
                </w:rPr>
                <w:t>Discussion</w:t>
              </w:r>
            </w:hyperlink>
            <w:r w:rsidRPr="00DF0B8F">
              <w:rPr>
                <w:rFonts w:eastAsia="Times New Roman" w:cs="Times New Roman"/>
              </w:rPr>
              <w:t>: promoting a successful discussion depends on correctly framing questions. Discover tips for framing discussion questions to promote higher order thinking.</w:t>
            </w:r>
            <w:r w:rsidRPr="00E61B4B">
              <w:rPr>
                <w:rFonts w:eastAsia="Times New Roman" w:cs="Times New Roman"/>
              </w:rPr>
              <w:t xml:space="preserve"> Additional information on </w:t>
            </w:r>
            <w:hyperlink r:id="rId11" w:history="1">
              <w:r w:rsidRPr="00E61B4B">
                <w:rPr>
                  <w:rStyle w:val="Hyperlink"/>
                  <w:rFonts w:eastAsia="Times New Roman" w:cs="Times New Roman"/>
                </w:rPr>
                <w:t>Socratic Questioning</w:t>
              </w:r>
            </w:hyperlink>
            <w:r w:rsidRPr="00E61B4B">
              <w:rPr>
                <w:rFonts w:eastAsia="Times New Roman" w:cs="Times New Roman"/>
              </w:rPr>
              <w:t xml:space="preserve"> may also be useful.</w:t>
            </w:r>
          </w:p>
        </w:tc>
        <w:tc>
          <w:tcPr>
            <w:tcW w:w="490" w:type="dxa"/>
          </w:tcPr>
          <w:p w14:paraId="2236B1C7" w14:textId="77777777" w:rsidR="00571B07" w:rsidRPr="00DF0B8F" w:rsidRDefault="00571B07" w:rsidP="006E439E">
            <w:pPr>
              <w:spacing w:after="120"/>
              <w:ind w:left="720"/>
              <w:rPr>
                <w:rFonts w:eastAsia="Times New Roman" w:cs="Times New Roman"/>
              </w:rPr>
            </w:pPr>
          </w:p>
        </w:tc>
        <w:tc>
          <w:tcPr>
            <w:tcW w:w="544" w:type="dxa"/>
          </w:tcPr>
          <w:p w14:paraId="274EDD56" w14:textId="77777777" w:rsidR="00571B07" w:rsidRPr="00DF0B8F" w:rsidRDefault="00571B07" w:rsidP="006E439E">
            <w:pPr>
              <w:spacing w:after="120"/>
              <w:ind w:left="720"/>
              <w:rPr>
                <w:rFonts w:eastAsia="Times New Roman" w:cs="Times New Roman"/>
              </w:rPr>
            </w:pPr>
          </w:p>
        </w:tc>
        <w:tc>
          <w:tcPr>
            <w:tcW w:w="649" w:type="dxa"/>
          </w:tcPr>
          <w:p w14:paraId="178DEF02" w14:textId="77777777" w:rsidR="00571B07" w:rsidRPr="00DF0B8F" w:rsidRDefault="00571B07" w:rsidP="006E439E">
            <w:pPr>
              <w:spacing w:after="120"/>
              <w:ind w:left="720"/>
              <w:rPr>
                <w:rFonts w:eastAsia="Times New Roman" w:cs="Times New Roman"/>
              </w:rPr>
            </w:pPr>
          </w:p>
        </w:tc>
      </w:tr>
      <w:tr w:rsidR="00571B07" w:rsidRPr="006E439E" w14:paraId="602DF44A" w14:textId="58C95CDA" w:rsidTr="00BB50FC">
        <w:trPr>
          <w:cantSplit/>
        </w:trPr>
        <w:tc>
          <w:tcPr>
            <w:tcW w:w="426" w:type="dxa"/>
          </w:tcPr>
          <w:p w14:paraId="419B865A" w14:textId="267BF186" w:rsidR="00571B07" w:rsidRPr="00DF0B8F" w:rsidRDefault="00571B07" w:rsidP="006E439E">
            <w:pPr>
              <w:spacing w:after="120"/>
              <w:jc w:val="both"/>
              <w:rPr>
                <w:rFonts w:eastAsia="Times New Roman" w:cs="Times New Roman"/>
              </w:rPr>
            </w:pPr>
            <w:r>
              <w:rPr>
                <w:rFonts w:eastAsia="Times New Roman" w:cs="Times New Roman"/>
              </w:rPr>
              <w:t>4</w:t>
            </w:r>
          </w:p>
        </w:tc>
        <w:tc>
          <w:tcPr>
            <w:tcW w:w="7539" w:type="dxa"/>
          </w:tcPr>
          <w:p w14:paraId="4BDA6527" w14:textId="174216F9" w:rsidR="00571B07" w:rsidRPr="006E439E" w:rsidRDefault="00571B07" w:rsidP="006E439E">
            <w:pPr>
              <w:spacing w:after="120"/>
              <w:jc w:val="both"/>
              <w:rPr>
                <w:rFonts w:eastAsia="Times New Roman" w:cs="Times New Roman"/>
              </w:rPr>
            </w:pPr>
            <w:hyperlink r:id="rId12" w:history="1">
              <w:r>
                <w:rPr>
                  <w:rStyle w:val="Hyperlink"/>
                </w:rPr>
                <w:t xml:space="preserve">Peer </w:t>
              </w:r>
              <w:r w:rsidRPr="00E61B4B">
                <w:rPr>
                  <w:rStyle w:val="Hyperlink"/>
                </w:rPr>
                <w:t>Review</w:t>
              </w:r>
            </w:hyperlink>
            <w:r w:rsidRPr="00E61B4B">
              <w:t>: students review and comment on materials written by their classmates.</w:t>
            </w:r>
          </w:p>
        </w:tc>
        <w:tc>
          <w:tcPr>
            <w:tcW w:w="490" w:type="dxa"/>
          </w:tcPr>
          <w:p w14:paraId="14677631" w14:textId="77777777" w:rsidR="00571B07" w:rsidRPr="006E439E" w:rsidRDefault="00571B07" w:rsidP="006E439E">
            <w:pPr>
              <w:spacing w:after="120"/>
              <w:ind w:left="720"/>
            </w:pPr>
          </w:p>
        </w:tc>
        <w:tc>
          <w:tcPr>
            <w:tcW w:w="544" w:type="dxa"/>
          </w:tcPr>
          <w:p w14:paraId="347A1C5B" w14:textId="77777777" w:rsidR="00571B07" w:rsidRPr="006E439E" w:rsidRDefault="00571B07" w:rsidP="006E439E">
            <w:pPr>
              <w:spacing w:after="120"/>
              <w:ind w:left="720"/>
            </w:pPr>
          </w:p>
        </w:tc>
        <w:tc>
          <w:tcPr>
            <w:tcW w:w="649" w:type="dxa"/>
          </w:tcPr>
          <w:p w14:paraId="3FFC03B1" w14:textId="50DFCAF6" w:rsidR="00571B07" w:rsidRPr="006E439E" w:rsidRDefault="00571B07" w:rsidP="006E439E">
            <w:pPr>
              <w:spacing w:after="120"/>
              <w:ind w:left="720"/>
            </w:pPr>
          </w:p>
        </w:tc>
      </w:tr>
      <w:tr w:rsidR="00571B07" w:rsidRPr="006E439E" w14:paraId="246B7315" w14:textId="422677BD" w:rsidTr="00BB50FC">
        <w:trPr>
          <w:cantSplit/>
        </w:trPr>
        <w:tc>
          <w:tcPr>
            <w:tcW w:w="426" w:type="dxa"/>
          </w:tcPr>
          <w:p w14:paraId="2B24D195" w14:textId="7BED5F0B" w:rsidR="00571B07" w:rsidRPr="00E61B4B" w:rsidRDefault="00571B07" w:rsidP="006E439E">
            <w:pPr>
              <w:spacing w:after="120"/>
              <w:jc w:val="both"/>
            </w:pPr>
            <w:r>
              <w:t>5</w:t>
            </w:r>
          </w:p>
        </w:tc>
        <w:tc>
          <w:tcPr>
            <w:tcW w:w="7539" w:type="dxa"/>
          </w:tcPr>
          <w:p w14:paraId="4727867C" w14:textId="60D7D505" w:rsidR="00571B07" w:rsidRPr="006E439E" w:rsidRDefault="00571B07" w:rsidP="006E439E">
            <w:pPr>
              <w:spacing w:after="120"/>
              <w:jc w:val="both"/>
              <w:rPr>
                <w:rFonts w:eastAsia="Times New Roman" w:cs="Times New Roman"/>
              </w:rPr>
            </w:pPr>
            <w:hyperlink r:id="rId13" w:history="1">
              <w:r w:rsidRPr="00E61B4B">
                <w:rPr>
                  <w:rFonts w:eastAsia="Times New Roman" w:cs="Times New Roman"/>
                  <w:color w:val="0000FF"/>
                  <w:u w:val="single"/>
                </w:rPr>
                <w:t>Problem solving using real data</w:t>
              </w:r>
            </w:hyperlink>
            <w:r w:rsidRPr="00DF0B8F">
              <w:rPr>
                <w:rFonts w:eastAsia="Times New Roman" w:cs="Times New Roman"/>
              </w:rPr>
              <w:t>: students use a variety of data to explore scientific questions.</w:t>
            </w:r>
          </w:p>
        </w:tc>
        <w:tc>
          <w:tcPr>
            <w:tcW w:w="490" w:type="dxa"/>
          </w:tcPr>
          <w:p w14:paraId="525F1312" w14:textId="77777777" w:rsidR="00571B07" w:rsidRPr="006E439E" w:rsidRDefault="00571B07" w:rsidP="006E439E">
            <w:pPr>
              <w:spacing w:after="120"/>
              <w:ind w:left="720"/>
            </w:pPr>
          </w:p>
        </w:tc>
        <w:tc>
          <w:tcPr>
            <w:tcW w:w="544" w:type="dxa"/>
          </w:tcPr>
          <w:p w14:paraId="1D66D7E6" w14:textId="77777777" w:rsidR="00571B07" w:rsidRPr="006E439E" w:rsidRDefault="00571B07" w:rsidP="006E439E">
            <w:pPr>
              <w:spacing w:after="120"/>
              <w:ind w:left="720"/>
            </w:pPr>
          </w:p>
        </w:tc>
        <w:tc>
          <w:tcPr>
            <w:tcW w:w="649" w:type="dxa"/>
          </w:tcPr>
          <w:p w14:paraId="58CC70B7" w14:textId="4B9E927E" w:rsidR="00571B07" w:rsidRPr="006E439E" w:rsidRDefault="00571B07" w:rsidP="006E439E">
            <w:pPr>
              <w:spacing w:after="120"/>
              <w:ind w:left="720"/>
            </w:pPr>
          </w:p>
        </w:tc>
      </w:tr>
      <w:tr w:rsidR="00571B07" w:rsidRPr="006E439E" w14:paraId="0C9CDFAD" w14:textId="360CFB44" w:rsidTr="00BB50FC">
        <w:trPr>
          <w:cantSplit/>
        </w:trPr>
        <w:tc>
          <w:tcPr>
            <w:tcW w:w="426" w:type="dxa"/>
          </w:tcPr>
          <w:p w14:paraId="298F53CA" w14:textId="5C642021" w:rsidR="00571B07" w:rsidRPr="00DF0B8F" w:rsidRDefault="00571B07" w:rsidP="006E439E">
            <w:pPr>
              <w:spacing w:after="120"/>
              <w:jc w:val="both"/>
              <w:rPr>
                <w:rFonts w:eastAsia="Times New Roman" w:cs="Times New Roman"/>
              </w:rPr>
            </w:pPr>
            <w:r>
              <w:rPr>
                <w:rFonts w:eastAsia="Times New Roman" w:cs="Times New Roman"/>
              </w:rPr>
              <w:t>6</w:t>
            </w:r>
          </w:p>
        </w:tc>
        <w:tc>
          <w:tcPr>
            <w:tcW w:w="7539" w:type="dxa"/>
          </w:tcPr>
          <w:p w14:paraId="68E5F62D" w14:textId="422A5DB1" w:rsidR="00571B07" w:rsidRPr="006E439E" w:rsidRDefault="00571B07" w:rsidP="006E439E">
            <w:pPr>
              <w:spacing w:after="120"/>
              <w:jc w:val="both"/>
              <w:rPr>
                <w:rFonts w:eastAsia="Times New Roman" w:cs="Times New Roman"/>
              </w:rPr>
            </w:pPr>
            <w:hyperlink r:id="rId14" w:history="1">
              <w:r w:rsidRPr="00E61B4B">
                <w:rPr>
                  <w:rStyle w:val="Hyperlink"/>
                  <w:rFonts w:eastAsia="Times New Roman" w:cs="Times New Roman"/>
                </w:rPr>
                <w:t>Teaching with Models</w:t>
              </w:r>
            </w:hyperlink>
            <w:r w:rsidRPr="00E61B4B">
              <w:rPr>
                <w:rFonts w:eastAsia="Times New Roman" w:cs="Times New Roman"/>
              </w:rPr>
              <w:t xml:space="preserve"> has students use </w:t>
            </w:r>
            <w:r w:rsidRPr="00E61B4B">
              <w:t>conceptual mathematical and statistical models or physical demonstrations and visualization to interact with course content.</w:t>
            </w:r>
          </w:p>
        </w:tc>
        <w:tc>
          <w:tcPr>
            <w:tcW w:w="490" w:type="dxa"/>
          </w:tcPr>
          <w:p w14:paraId="59221C19" w14:textId="77777777" w:rsidR="00571B07" w:rsidRPr="006E439E" w:rsidRDefault="00571B07" w:rsidP="006E439E">
            <w:pPr>
              <w:spacing w:after="120"/>
              <w:ind w:left="720"/>
            </w:pPr>
          </w:p>
        </w:tc>
        <w:tc>
          <w:tcPr>
            <w:tcW w:w="544" w:type="dxa"/>
          </w:tcPr>
          <w:p w14:paraId="67AA8B77" w14:textId="77777777" w:rsidR="00571B07" w:rsidRPr="006E439E" w:rsidRDefault="00571B07" w:rsidP="006E439E">
            <w:pPr>
              <w:spacing w:after="120"/>
              <w:ind w:left="720"/>
            </w:pPr>
          </w:p>
        </w:tc>
        <w:tc>
          <w:tcPr>
            <w:tcW w:w="649" w:type="dxa"/>
          </w:tcPr>
          <w:p w14:paraId="2B1030ED" w14:textId="0D754A28" w:rsidR="00571B07" w:rsidRPr="006E439E" w:rsidRDefault="00571B07" w:rsidP="006E439E">
            <w:pPr>
              <w:spacing w:after="120"/>
              <w:ind w:left="720"/>
            </w:pPr>
          </w:p>
        </w:tc>
      </w:tr>
      <w:tr w:rsidR="00571B07" w:rsidRPr="006E439E" w14:paraId="7A947AD3" w14:textId="2731CA0B" w:rsidTr="00BB50FC">
        <w:trPr>
          <w:cantSplit/>
        </w:trPr>
        <w:tc>
          <w:tcPr>
            <w:tcW w:w="426" w:type="dxa"/>
          </w:tcPr>
          <w:p w14:paraId="3CB066D5" w14:textId="08318B00" w:rsidR="00571B07" w:rsidRPr="00E61B4B" w:rsidRDefault="00571B07" w:rsidP="006E439E">
            <w:pPr>
              <w:spacing w:after="120"/>
              <w:jc w:val="both"/>
              <w:rPr>
                <w:rFonts w:eastAsia="Times New Roman" w:cs="Times New Roman"/>
              </w:rPr>
            </w:pPr>
            <w:r>
              <w:rPr>
                <w:rFonts w:eastAsia="Times New Roman" w:cs="Times New Roman"/>
              </w:rPr>
              <w:t>7</w:t>
            </w:r>
          </w:p>
        </w:tc>
        <w:tc>
          <w:tcPr>
            <w:tcW w:w="7539" w:type="dxa"/>
          </w:tcPr>
          <w:p w14:paraId="6095C1BD" w14:textId="6EAE6EAF" w:rsidR="00571B07" w:rsidRPr="006E439E" w:rsidRDefault="00571B07" w:rsidP="006E439E">
            <w:pPr>
              <w:spacing w:after="120"/>
              <w:jc w:val="both"/>
              <w:rPr>
                <w:rFonts w:eastAsia="Times New Roman" w:cs="Times New Roman"/>
              </w:rPr>
            </w:pPr>
            <w:hyperlink r:id="rId15" w:history="1">
              <w:r w:rsidRPr="00E61B4B">
                <w:rPr>
                  <w:rFonts w:eastAsia="Times New Roman" w:cs="Times New Roman"/>
                  <w:color w:val="0000FF"/>
                  <w:u w:val="single"/>
                </w:rPr>
                <w:t>Game Based Learning</w:t>
              </w:r>
            </w:hyperlink>
            <w:r w:rsidRPr="00DF0B8F">
              <w:rPr>
                <w:rFonts w:eastAsia="Times New Roman" w:cs="Times New Roman"/>
              </w:rPr>
              <w:t>: uses competitive exercises, either pitting the students against each other or through computer simulations.</w:t>
            </w:r>
          </w:p>
        </w:tc>
        <w:tc>
          <w:tcPr>
            <w:tcW w:w="490" w:type="dxa"/>
          </w:tcPr>
          <w:p w14:paraId="6C364F7E" w14:textId="77777777" w:rsidR="00571B07" w:rsidRPr="006E439E" w:rsidRDefault="00571B07" w:rsidP="006E439E">
            <w:pPr>
              <w:spacing w:after="120"/>
              <w:ind w:left="720"/>
            </w:pPr>
          </w:p>
        </w:tc>
        <w:tc>
          <w:tcPr>
            <w:tcW w:w="544" w:type="dxa"/>
          </w:tcPr>
          <w:p w14:paraId="062B14EA" w14:textId="77777777" w:rsidR="00571B07" w:rsidRPr="006E439E" w:rsidRDefault="00571B07" w:rsidP="006E439E">
            <w:pPr>
              <w:spacing w:after="120"/>
              <w:ind w:left="720"/>
            </w:pPr>
          </w:p>
        </w:tc>
        <w:tc>
          <w:tcPr>
            <w:tcW w:w="649" w:type="dxa"/>
          </w:tcPr>
          <w:p w14:paraId="3C20C896" w14:textId="14B53125" w:rsidR="00571B07" w:rsidRPr="006E439E" w:rsidRDefault="00571B07" w:rsidP="006E439E">
            <w:pPr>
              <w:spacing w:after="120"/>
              <w:ind w:left="720"/>
            </w:pPr>
          </w:p>
        </w:tc>
      </w:tr>
      <w:tr w:rsidR="00571B07" w:rsidRPr="006E439E" w14:paraId="736BF377" w14:textId="50BBEBFF" w:rsidTr="00BB50FC">
        <w:trPr>
          <w:cantSplit/>
        </w:trPr>
        <w:tc>
          <w:tcPr>
            <w:tcW w:w="426" w:type="dxa"/>
          </w:tcPr>
          <w:p w14:paraId="193CF5D9" w14:textId="6FAE3FE3" w:rsidR="00571B07" w:rsidRPr="00DF0B8F" w:rsidRDefault="00571B07" w:rsidP="006E439E">
            <w:pPr>
              <w:spacing w:after="120"/>
              <w:jc w:val="both"/>
              <w:rPr>
                <w:rFonts w:eastAsia="Times New Roman" w:cs="Times New Roman"/>
              </w:rPr>
            </w:pPr>
            <w:r>
              <w:rPr>
                <w:rFonts w:eastAsia="Times New Roman" w:cs="Times New Roman"/>
              </w:rPr>
              <w:t>8</w:t>
            </w:r>
          </w:p>
        </w:tc>
        <w:tc>
          <w:tcPr>
            <w:tcW w:w="7539" w:type="dxa"/>
          </w:tcPr>
          <w:p w14:paraId="79077B22" w14:textId="0BD9ADBB" w:rsidR="00571B07" w:rsidRPr="006E439E" w:rsidRDefault="00571B07" w:rsidP="006E439E">
            <w:pPr>
              <w:spacing w:after="120"/>
              <w:jc w:val="both"/>
              <w:rPr>
                <w:rFonts w:eastAsia="Times New Roman" w:cs="Times New Roman"/>
              </w:rPr>
            </w:pPr>
            <w:hyperlink r:id="rId16" w:history="1">
              <w:r w:rsidRPr="00E61B4B">
                <w:rPr>
                  <w:rStyle w:val="Hyperlink"/>
                </w:rPr>
                <w:t>Structured Academic Controversy</w:t>
              </w:r>
            </w:hyperlink>
            <w:r w:rsidRPr="00E61B4B">
              <w:t xml:space="preserve"> is a type of cooperative learning strategy in which small teams of students learn about a controversial is</w:t>
            </w:r>
            <w:r>
              <w:t xml:space="preserve">sue from multiple perspectives </w:t>
            </w:r>
          </w:p>
        </w:tc>
        <w:tc>
          <w:tcPr>
            <w:tcW w:w="490" w:type="dxa"/>
          </w:tcPr>
          <w:p w14:paraId="2F0BD15F" w14:textId="77777777" w:rsidR="00571B07" w:rsidRPr="006E439E" w:rsidRDefault="00571B07" w:rsidP="006E439E">
            <w:pPr>
              <w:spacing w:after="120"/>
              <w:ind w:left="720"/>
            </w:pPr>
          </w:p>
        </w:tc>
        <w:tc>
          <w:tcPr>
            <w:tcW w:w="544" w:type="dxa"/>
          </w:tcPr>
          <w:p w14:paraId="21C40A44" w14:textId="77777777" w:rsidR="00571B07" w:rsidRPr="006E439E" w:rsidRDefault="00571B07" w:rsidP="006E439E">
            <w:pPr>
              <w:spacing w:after="120"/>
              <w:ind w:left="720"/>
            </w:pPr>
          </w:p>
        </w:tc>
        <w:tc>
          <w:tcPr>
            <w:tcW w:w="649" w:type="dxa"/>
          </w:tcPr>
          <w:p w14:paraId="545976BE" w14:textId="3DCDF886" w:rsidR="00571B07" w:rsidRPr="006E439E" w:rsidRDefault="00571B07" w:rsidP="006E439E">
            <w:pPr>
              <w:spacing w:after="120"/>
              <w:ind w:left="720"/>
            </w:pPr>
          </w:p>
        </w:tc>
      </w:tr>
      <w:tr w:rsidR="00571B07" w:rsidRPr="006E439E" w14:paraId="3876BABB" w14:textId="072D4074" w:rsidTr="00BB50FC">
        <w:trPr>
          <w:cantSplit/>
        </w:trPr>
        <w:tc>
          <w:tcPr>
            <w:tcW w:w="426" w:type="dxa"/>
          </w:tcPr>
          <w:p w14:paraId="5119F4C3" w14:textId="0AD5CCD9" w:rsidR="00571B07" w:rsidRPr="00DF0B8F" w:rsidRDefault="00571B07" w:rsidP="006E439E">
            <w:pPr>
              <w:spacing w:after="120"/>
              <w:jc w:val="both"/>
              <w:rPr>
                <w:rFonts w:eastAsia="Times New Roman" w:cs="Times New Roman"/>
              </w:rPr>
            </w:pPr>
            <w:r>
              <w:rPr>
                <w:rFonts w:eastAsia="Times New Roman" w:cs="Times New Roman"/>
              </w:rPr>
              <w:t>9</w:t>
            </w:r>
          </w:p>
        </w:tc>
        <w:tc>
          <w:tcPr>
            <w:tcW w:w="7539" w:type="dxa"/>
          </w:tcPr>
          <w:p w14:paraId="23F2EFDF" w14:textId="1C809AFB" w:rsidR="00571B07" w:rsidRPr="006E439E" w:rsidRDefault="00571B07" w:rsidP="006E439E">
            <w:pPr>
              <w:spacing w:after="120"/>
              <w:jc w:val="both"/>
              <w:rPr>
                <w:rFonts w:eastAsia="Times New Roman" w:cs="Times New Roman"/>
              </w:rPr>
            </w:pPr>
            <w:hyperlink r:id="rId17" w:history="1">
              <w:r w:rsidRPr="00E61B4B">
                <w:rPr>
                  <w:rStyle w:val="Hyperlink"/>
                </w:rPr>
                <w:t>ConcepTests</w:t>
              </w:r>
            </w:hyperlink>
            <w:r w:rsidRPr="00E61B4B">
              <w:t xml:space="preserve"> are conceptual multiple-choice questions that focus on one key concept of an instructor's learning goals for a lesson. When coupled with student interaction through peer instruction, ConcepTests represent a rapid method of formative assessment of student understanding.</w:t>
            </w:r>
          </w:p>
        </w:tc>
        <w:tc>
          <w:tcPr>
            <w:tcW w:w="490" w:type="dxa"/>
          </w:tcPr>
          <w:p w14:paraId="39E8F11D" w14:textId="77777777" w:rsidR="00571B07" w:rsidRPr="006E439E" w:rsidRDefault="00571B07" w:rsidP="006E439E">
            <w:pPr>
              <w:spacing w:after="120"/>
              <w:ind w:left="720"/>
            </w:pPr>
          </w:p>
        </w:tc>
        <w:tc>
          <w:tcPr>
            <w:tcW w:w="544" w:type="dxa"/>
          </w:tcPr>
          <w:p w14:paraId="11898AD6" w14:textId="77777777" w:rsidR="00571B07" w:rsidRPr="006E439E" w:rsidRDefault="00571B07" w:rsidP="006E439E">
            <w:pPr>
              <w:spacing w:after="120"/>
              <w:ind w:left="720"/>
            </w:pPr>
          </w:p>
        </w:tc>
        <w:tc>
          <w:tcPr>
            <w:tcW w:w="649" w:type="dxa"/>
          </w:tcPr>
          <w:p w14:paraId="6E0E450E" w14:textId="78CAA785" w:rsidR="00571B07" w:rsidRPr="006E439E" w:rsidRDefault="00571B07" w:rsidP="006E439E">
            <w:pPr>
              <w:spacing w:after="120"/>
              <w:ind w:left="720"/>
            </w:pPr>
          </w:p>
        </w:tc>
      </w:tr>
      <w:tr w:rsidR="00571B07" w:rsidRPr="006E439E" w14:paraId="01520333" w14:textId="347C1CA7" w:rsidTr="00BB50FC">
        <w:trPr>
          <w:cantSplit/>
        </w:trPr>
        <w:tc>
          <w:tcPr>
            <w:tcW w:w="426" w:type="dxa"/>
          </w:tcPr>
          <w:p w14:paraId="1C1B71D0" w14:textId="47204B2B" w:rsidR="00571B07" w:rsidRPr="00E61B4B" w:rsidRDefault="00571B07" w:rsidP="006E439E">
            <w:pPr>
              <w:spacing w:after="120"/>
              <w:jc w:val="both"/>
            </w:pPr>
            <w:r>
              <w:t>10</w:t>
            </w:r>
          </w:p>
        </w:tc>
        <w:tc>
          <w:tcPr>
            <w:tcW w:w="7539" w:type="dxa"/>
          </w:tcPr>
          <w:p w14:paraId="49ED0A07" w14:textId="2D28FCDF" w:rsidR="00571B07" w:rsidRPr="006E439E" w:rsidRDefault="00571B07" w:rsidP="006E439E">
            <w:pPr>
              <w:spacing w:after="120"/>
              <w:jc w:val="both"/>
              <w:rPr>
                <w:rFonts w:eastAsia="Times New Roman" w:cs="Times New Roman"/>
              </w:rPr>
            </w:pPr>
            <w:hyperlink r:id="rId18" w:history="1">
              <w:r w:rsidRPr="00E61B4B">
                <w:rPr>
                  <w:rStyle w:val="Hyperlink"/>
                </w:rPr>
                <w:t>What is it?</w:t>
              </w:r>
            </w:hyperlink>
            <w:r w:rsidRPr="00E61B4B">
              <w:t xml:space="preserve"> Is an activity that can be used daily to have students interpret geologic images (this example uses geologic structures) using photos presented during class. Photos are shown either after topics or towards the end of class and one student (or a group if they work in small groups) are called upon to interpret the photo. Students may come to the screen to point out features if they choose. </w:t>
            </w:r>
          </w:p>
        </w:tc>
        <w:tc>
          <w:tcPr>
            <w:tcW w:w="490" w:type="dxa"/>
          </w:tcPr>
          <w:p w14:paraId="25A68BE8" w14:textId="77777777" w:rsidR="00571B07" w:rsidRPr="006E439E" w:rsidRDefault="00571B07" w:rsidP="006E439E">
            <w:pPr>
              <w:spacing w:after="120"/>
              <w:ind w:left="720"/>
            </w:pPr>
          </w:p>
        </w:tc>
        <w:tc>
          <w:tcPr>
            <w:tcW w:w="544" w:type="dxa"/>
          </w:tcPr>
          <w:p w14:paraId="668A1499" w14:textId="77777777" w:rsidR="00571B07" w:rsidRPr="006E439E" w:rsidRDefault="00571B07" w:rsidP="006E439E">
            <w:pPr>
              <w:spacing w:after="120"/>
              <w:ind w:left="720"/>
            </w:pPr>
          </w:p>
        </w:tc>
        <w:tc>
          <w:tcPr>
            <w:tcW w:w="649" w:type="dxa"/>
          </w:tcPr>
          <w:p w14:paraId="1864022B" w14:textId="649FEE69" w:rsidR="00571B07" w:rsidRPr="006E439E" w:rsidRDefault="00571B07" w:rsidP="006E439E">
            <w:pPr>
              <w:spacing w:after="120"/>
              <w:ind w:left="720"/>
            </w:pPr>
          </w:p>
        </w:tc>
      </w:tr>
      <w:tr w:rsidR="00571B07" w:rsidRPr="006E439E" w14:paraId="65CA448C" w14:textId="4FB3FABF" w:rsidTr="00BB50FC">
        <w:trPr>
          <w:cantSplit/>
        </w:trPr>
        <w:tc>
          <w:tcPr>
            <w:tcW w:w="426" w:type="dxa"/>
          </w:tcPr>
          <w:p w14:paraId="24BCD782" w14:textId="3CF07C26" w:rsidR="00571B07" w:rsidRPr="00E61B4B" w:rsidRDefault="00571B07" w:rsidP="00CD1BD8">
            <w:pPr>
              <w:spacing w:after="120"/>
              <w:jc w:val="both"/>
            </w:pPr>
            <w:r>
              <w:t>11</w:t>
            </w:r>
          </w:p>
        </w:tc>
        <w:tc>
          <w:tcPr>
            <w:tcW w:w="7539" w:type="dxa"/>
          </w:tcPr>
          <w:p w14:paraId="48C32F0C" w14:textId="0F7CE45A" w:rsidR="00571B07" w:rsidRPr="006E439E" w:rsidRDefault="00571B07" w:rsidP="00CD1BD8">
            <w:pPr>
              <w:spacing w:after="120"/>
              <w:jc w:val="both"/>
              <w:rPr>
                <w:rFonts w:eastAsia="Times New Roman" w:cs="Times New Roman"/>
              </w:rPr>
            </w:pPr>
            <w:hyperlink r:id="rId19" w:history="1">
              <w:r w:rsidRPr="00E61B4B">
                <w:rPr>
                  <w:rStyle w:val="Hyperlink"/>
                </w:rPr>
                <w:t>Jigsaw</w:t>
              </w:r>
            </w:hyperlink>
            <w:r w:rsidRPr="00E61B4B">
              <w:t xml:space="preserve"> activities starts with the class divided into several teams, with each team responsible separate but related assignments. When all team members are prepared, the class is re-divided into mixed groups, with one member from each team in each group. Each person in the group teaches the rest of the group what he/she knows, and the group then tackles an assignment together.</w:t>
            </w:r>
          </w:p>
        </w:tc>
        <w:tc>
          <w:tcPr>
            <w:tcW w:w="490" w:type="dxa"/>
          </w:tcPr>
          <w:p w14:paraId="02F0AA84" w14:textId="77777777" w:rsidR="00571B07" w:rsidRPr="006E439E" w:rsidRDefault="00571B07" w:rsidP="006E439E">
            <w:pPr>
              <w:spacing w:after="120"/>
              <w:ind w:left="720"/>
            </w:pPr>
          </w:p>
        </w:tc>
        <w:tc>
          <w:tcPr>
            <w:tcW w:w="544" w:type="dxa"/>
          </w:tcPr>
          <w:p w14:paraId="29B69329" w14:textId="77777777" w:rsidR="00571B07" w:rsidRPr="006E439E" w:rsidRDefault="00571B07" w:rsidP="006E439E">
            <w:pPr>
              <w:spacing w:after="120"/>
              <w:ind w:left="720"/>
            </w:pPr>
          </w:p>
        </w:tc>
        <w:tc>
          <w:tcPr>
            <w:tcW w:w="649" w:type="dxa"/>
          </w:tcPr>
          <w:p w14:paraId="46A74408" w14:textId="5A452558" w:rsidR="00571B07" w:rsidRPr="006E439E" w:rsidRDefault="00571B07" w:rsidP="006E439E">
            <w:pPr>
              <w:spacing w:after="120"/>
              <w:ind w:left="720"/>
            </w:pPr>
          </w:p>
        </w:tc>
      </w:tr>
      <w:tr w:rsidR="00571B07" w:rsidRPr="006E439E" w14:paraId="79BED5D7" w14:textId="19E9CE29" w:rsidTr="00BB50FC">
        <w:trPr>
          <w:cantSplit/>
        </w:trPr>
        <w:tc>
          <w:tcPr>
            <w:tcW w:w="426" w:type="dxa"/>
          </w:tcPr>
          <w:p w14:paraId="6A66FC25" w14:textId="70D79B3D" w:rsidR="00571B07" w:rsidRPr="00E61B4B" w:rsidRDefault="00571B07" w:rsidP="006E439E">
            <w:pPr>
              <w:spacing w:after="120"/>
              <w:jc w:val="both"/>
            </w:pPr>
            <w:r>
              <w:lastRenderedPageBreak/>
              <w:t>12</w:t>
            </w:r>
          </w:p>
        </w:tc>
        <w:tc>
          <w:tcPr>
            <w:tcW w:w="7539" w:type="dxa"/>
          </w:tcPr>
          <w:p w14:paraId="5CDBDA22" w14:textId="508438DF" w:rsidR="00571B07" w:rsidRPr="00E61B4B" w:rsidRDefault="00571B07" w:rsidP="006E439E">
            <w:pPr>
              <w:spacing w:after="120"/>
              <w:jc w:val="both"/>
            </w:pPr>
            <w:hyperlink r:id="rId20" w:history="1">
              <w:r w:rsidRPr="00E61B4B">
                <w:rPr>
                  <w:rStyle w:val="Hyperlink"/>
                </w:rPr>
                <w:t>Gallery Walks</w:t>
              </w:r>
            </w:hyperlink>
            <w:r w:rsidRPr="00E61B4B">
              <w:t xml:space="preserve"> has the class in teams that rotate around the classroom to stations where questions or prompts are posted on paper (or white boards, large memo sheets, etc.) that are located in different parts of the classroom. As a group, students compose answers to prompts, including reflection or synthesis of answers given by other groups. Each chart or "station" has its own question that relates to an important class concept. The technique closes with an oral presentation or "report out" in which each group synthesizes comments to a particular question.</w:t>
            </w:r>
          </w:p>
        </w:tc>
        <w:tc>
          <w:tcPr>
            <w:tcW w:w="490" w:type="dxa"/>
          </w:tcPr>
          <w:p w14:paraId="794C289C" w14:textId="77777777" w:rsidR="00571B07" w:rsidRPr="006E439E" w:rsidRDefault="00571B07" w:rsidP="006E439E">
            <w:pPr>
              <w:spacing w:after="120"/>
              <w:ind w:left="720"/>
            </w:pPr>
          </w:p>
        </w:tc>
        <w:tc>
          <w:tcPr>
            <w:tcW w:w="544" w:type="dxa"/>
          </w:tcPr>
          <w:p w14:paraId="799B3ADD" w14:textId="77777777" w:rsidR="00571B07" w:rsidRPr="006E439E" w:rsidRDefault="00571B07" w:rsidP="006E439E">
            <w:pPr>
              <w:spacing w:after="120"/>
              <w:ind w:left="720"/>
            </w:pPr>
          </w:p>
        </w:tc>
        <w:tc>
          <w:tcPr>
            <w:tcW w:w="649" w:type="dxa"/>
          </w:tcPr>
          <w:p w14:paraId="3996B9E9" w14:textId="5C385ED7" w:rsidR="00571B07" w:rsidRPr="006E439E" w:rsidRDefault="00571B07" w:rsidP="006E439E">
            <w:pPr>
              <w:spacing w:after="120"/>
              <w:ind w:left="720"/>
            </w:pPr>
          </w:p>
        </w:tc>
      </w:tr>
      <w:tr w:rsidR="00571B07" w:rsidRPr="006E439E" w14:paraId="48AA4244" w14:textId="6666F044" w:rsidTr="00BB50FC">
        <w:trPr>
          <w:cantSplit/>
        </w:trPr>
        <w:tc>
          <w:tcPr>
            <w:tcW w:w="426" w:type="dxa"/>
          </w:tcPr>
          <w:p w14:paraId="453B8B58" w14:textId="1A6B6069" w:rsidR="00571B07" w:rsidRPr="00E61B4B" w:rsidRDefault="00571B07" w:rsidP="006E439E">
            <w:pPr>
              <w:spacing w:after="120"/>
              <w:jc w:val="both"/>
            </w:pPr>
            <w:r>
              <w:t>13</w:t>
            </w:r>
          </w:p>
        </w:tc>
        <w:tc>
          <w:tcPr>
            <w:tcW w:w="7539" w:type="dxa"/>
          </w:tcPr>
          <w:p w14:paraId="22D4D1CB" w14:textId="765047F5" w:rsidR="00571B07" w:rsidRPr="00E61B4B" w:rsidRDefault="00571B07" w:rsidP="006E439E">
            <w:pPr>
              <w:spacing w:after="120"/>
              <w:jc w:val="both"/>
            </w:pPr>
            <w:hyperlink r:id="rId21" w:history="1">
              <w:r w:rsidRPr="00E61B4B">
                <w:rPr>
                  <w:rStyle w:val="Hyperlink"/>
                </w:rPr>
                <w:t>Investigative Case Study</w:t>
              </w:r>
            </w:hyperlink>
            <w:r w:rsidRPr="00E61B4B">
              <w:t xml:space="preserve">    Students structure their own learning using the "story" of the case as a problem space. Although the case defines the general area of geoscience under investigation, students generate questions based both on their interests and prior knowledge that relates to the topic of study. A </w:t>
            </w:r>
            <w:hyperlink r:id="rId22" w:history="1">
              <w:r w:rsidRPr="00E61B4B">
                <w:rPr>
                  <w:rStyle w:val="Hyperlink"/>
                </w:rPr>
                <w:t>variety of investigative case study examples</w:t>
              </w:r>
            </w:hyperlink>
            <w:r w:rsidRPr="00E61B4B">
              <w:t xml:space="preserve"> are available on the SERC site.</w:t>
            </w:r>
          </w:p>
        </w:tc>
        <w:tc>
          <w:tcPr>
            <w:tcW w:w="490" w:type="dxa"/>
          </w:tcPr>
          <w:p w14:paraId="59811909" w14:textId="77777777" w:rsidR="00571B07" w:rsidRPr="006E439E" w:rsidRDefault="00571B07" w:rsidP="006E439E">
            <w:pPr>
              <w:spacing w:after="120"/>
              <w:ind w:left="720"/>
            </w:pPr>
          </w:p>
        </w:tc>
        <w:tc>
          <w:tcPr>
            <w:tcW w:w="544" w:type="dxa"/>
          </w:tcPr>
          <w:p w14:paraId="2D4945B2" w14:textId="77777777" w:rsidR="00571B07" w:rsidRPr="006E439E" w:rsidRDefault="00571B07" w:rsidP="006E439E">
            <w:pPr>
              <w:spacing w:after="120"/>
              <w:ind w:left="720"/>
            </w:pPr>
          </w:p>
        </w:tc>
        <w:tc>
          <w:tcPr>
            <w:tcW w:w="649" w:type="dxa"/>
          </w:tcPr>
          <w:p w14:paraId="161C4BA1" w14:textId="532E2B8B" w:rsidR="00571B07" w:rsidRPr="006E439E" w:rsidRDefault="00571B07" w:rsidP="006E439E">
            <w:pPr>
              <w:spacing w:after="120"/>
              <w:ind w:left="720"/>
            </w:pPr>
          </w:p>
        </w:tc>
      </w:tr>
      <w:tr w:rsidR="00571B07" w:rsidRPr="006E439E" w14:paraId="3DBA6B93" w14:textId="568E1AAE" w:rsidTr="00BB50FC">
        <w:trPr>
          <w:cantSplit/>
        </w:trPr>
        <w:tc>
          <w:tcPr>
            <w:tcW w:w="426" w:type="dxa"/>
          </w:tcPr>
          <w:p w14:paraId="5470A03C" w14:textId="245E4954" w:rsidR="00571B07" w:rsidRPr="00E61B4B" w:rsidRDefault="00571B07" w:rsidP="006E439E">
            <w:pPr>
              <w:spacing w:after="120"/>
              <w:jc w:val="both"/>
            </w:pPr>
            <w:r>
              <w:t>14</w:t>
            </w:r>
          </w:p>
        </w:tc>
        <w:tc>
          <w:tcPr>
            <w:tcW w:w="7539" w:type="dxa"/>
          </w:tcPr>
          <w:p w14:paraId="2FE853D8" w14:textId="5955DEEA" w:rsidR="00571B07" w:rsidRPr="00E61B4B" w:rsidRDefault="00571B07" w:rsidP="006E439E">
            <w:pPr>
              <w:spacing w:after="120"/>
              <w:jc w:val="both"/>
            </w:pPr>
            <w:r>
              <w:t xml:space="preserve">A </w:t>
            </w:r>
            <w:hyperlink r:id="rId23" w:history="1">
              <w:r w:rsidRPr="0038361F">
                <w:rPr>
                  <w:rStyle w:val="Hyperlink"/>
                </w:rPr>
                <w:t>Concept Sketch</w:t>
              </w:r>
            </w:hyperlink>
            <w:r>
              <w:t xml:space="preserve"> is a useful assessment tool but can also be used to engage students in active/group learning. Sketches are annotated with descriptions, processes, important features and inter-relationships. This link guides you in the development of concept sketches and provides examples. </w:t>
            </w:r>
          </w:p>
        </w:tc>
        <w:tc>
          <w:tcPr>
            <w:tcW w:w="490" w:type="dxa"/>
          </w:tcPr>
          <w:p w14:paraId="7EE54CA6" w14:textId="77777777" w:rsidR="00571B07" w:rsidRPr="006E439E" w:rsidRDefault="00571B07" w:rsidP="006E439E">
            <w:pPr>
              <w:spacing w:after="120"/>
              <w:ind w:left="720"/>
            </w:pPr>
          </w:p>
        </w:tc>
        <w:tc>
          <w:tcPr>
            <w:tcW w:w="544" w:type="dxa"/>
          </w:tcPr>
          <w:p w14:paraId="7396928C" w14:textId="77777777" w:rsidR="00571B07" w:rsidRPr="006E439E" w:rsidRDefault="00571B07" w:rsidP="006E439E">
            <w:pPr>
              <w:spacing w:after="120"/>
              <w:ind w:left="720"/>
            </w:pPr>
          </w:p>
        </w:tc>
        <w:tc>
          <w:tcPr>
            <w:tcW w:w="649" w:type="dxa"/>
          </w:tcPr>
          <w:p w14:paraId="24A27215" w14:textId="6F037B1A" w:rsidR="00571B07" w:rsidRPr="006E439E" w:rsidRDefault="00571B07" w:rsidP="006E439E">
            <w:pPr>
              <w:spacing w:after="120"/>
              <w:ind w:left="720"/>
            </w:pPr>
          </w:p>
        </w:tc>
      </w:tr>
      <w:tr w:rsidR="00571B07" w:rsidRPr="006E439E" w14:paraId="7FC2F64E" w14:textId="42C7E247" w:rsidTr="00BB50FC">
        <w:trPr>
          <w:cantSplit/>
        </w:trPr>
        <w:tc>
          <w:tcPr>
            <w:tcW w:w="426" w:type="dxa"/>
          </w:tcPr>
          <w:p w14:paraId="2620A1A2" w14:textId="393BB0AD" w:rsidR="00571B07" w:rsidRPr="00E61B4B" w:rsidRDefault="00571B07" w:rsidP="006E439E">
            <w:pPr>
              <w:spacing w:after="120"/>
            </w:pPr>
            <w:r>
              <w:t>17</w:t>
            </w:r>
          </w:p>
        </w:tc>
        <w:tc>
          <w:tcPr>
            <w:tcW w:w="7539" w:type="dxa"/>
          </w:tcPr>
          <w:p w14:paraId="3E7D35CE" w14:textId="76B5DCC2" w:rsidR="00571B07" w:rsidRPr="00E61B4B" w:rsidRDefault="00571B07" w:rsidP="006E439E">
            <w:pPr>
              <w:spacing w:after="120"/>
            </w:pPr>
            <w:hyperlink r:id="rId24" w:history="1">
              <w:r w:rsidRPr="00B311C2">
                <w:rPr>
                  <w:rStyle w:val="Hyperlink"/>
                </w:rPr>
                <w:t>Concept Maps</w:t>
              </w:r>
            </w:hyperlink>
            <w:r>
              <w:t xml:space="preserve"> are </w:t>
            </w:r>
            <w:r w:rsidRPr="00B311C2">
              <w:t>graphical representations</w:t>
            </w:r>
            <w:r>
              <w:t xml:space="preserve"> of concepts and relationships among concepts. Additional resources are available through </w:t>
            </w:r>
            <w:hyperlink r:id="rId25" w:history="1">
              <w:r w:rsidRPr="00B311C2">
                <w:rPr>
                  <w:rStyle w:val="Hyperlink"/>
                </w:rPr>
                <w:t>Carnegie Mellon</w:t>
              </w:r>
            </w:hyperlink>
            <w:r>
              <w:t xml:space="preserve"> and from </w:t>
            </w:r>
            <w:hyperlink r:id="rId26" w:history="1">
              <w:r w:rsidRPr="0038361F">
                <w:rPr>
                  <w:rStyle w:val="Hyperlink"/>
                </w:rPr>
                <w:t>Novak and Canas</w:t>
              </w:r>
            </w:hyperlink>
            <w:r>
              <w:t xml:space="preserve"> who provide a thorough description including theoretical justification, evidence of learning and some examples are available (a </w:t>
            </w:r>
            <w:hyperlink r:id="rId27" w:history="1">
              <w:r w:rsidRPr="0038361F">
                <w:rPr>
                  <w:rStyle w:val="Hyperlink"/>
                </w:rPr>
                <w:t xml:space="preserve">shorter summary </w:t>
              </w:r>
            </w:hyperlink>
            <w:r>
              <w:t xml:space="preserve">is also available from Michigan State Univ.). </w:t>
            </w:r>
          </w:p>
        </w:tc>
        <w:tc>
          <w:tcPr>
            <w:tcW w:w="490" w:type="dxa"/>
          </w:tcPr>
          <w:p w14:paraId="6485E584" w14:textId="77777777" w:rsidR="00571B07" w:rsidRPr="006E439E" w:rsidRDefault="00571B07" w:rsidP="006E439E">
            <w:pPr>
              <w:spacing w:after="120"/>
              <w:ind w:left="720"/>
            </w:pPr>
          </w:p>
        </w:tc>
        <w:tc>
          <w:tcPr>
            <w:tcW w:w="544" w:type="dxa"/>
          </w:tcPr>
          <w:p w14:paraId="2C9AD29D" w14:textId="77777777" w:rsidR="00571B07" w:rsidRPr="006E439E" w:rsidRDefault="00571B07" w:rsidP="006E439E">
            <w:pPr>
              <w:spacing w:after="120"/>
              <w:ind w:left="720"/>
            </w:pPr>
          </w:p>
        </w:tc>
        <w:tc>
          <w:tcPr>
            <w:tcW w:w="649" w:type="dxa"/>
          </w:tcPr>
          <w:p w14:paraId="094087C0" w14:textId="30C5BAC5" w:rsidR="00571B07" w:rsidRPr="006E439E" w:rsidRDefault="00571B07" w:rsidP="006E439E">
            <w:pPr>
              <w:spacing w:after="120"/>
              <w:ind w:left="720"/>
            </w:pPr>
          </w:p>
        </w:tc>
      </w:tr>
      <w:tr w:rsidR="00571B07" w:rsidRPr="006E439E" w14:paraId="71E7E0D9" w14:textId="0BA48EF2" w:rsidTr="00BB50FC">
        <w:trPr>
          <w:cantSplit/>
        </w:trPr>
        <w:tc>
          <w:tcPr>
            <w:tcW w:w="426" w:type="dxa"/>
          </w:tcPr>
          <w:p w14:paraId="1D727CE9" w14:textId="41F59D83" w:rsidR="00571B07" w:rsidRDefault="00571B07" w:rsidP="006E439E">
            <w:pPr>
              <w:tabs>
                <w:tab w:val="left" w:pos="2745"/>
              </w:tabs>
              <w:spacing w:after="120"/>
              <w:jc w:val="both"/>
            </w:pPr>
            <w:r>
              <w:t>18</w:t>
            </w:r>
          </w:p>
        </w:tc>
        <w:tc>
          <w:tcPr>
            <w:tcW w:w="7539" w:type="dxa"/>
          </w:tcPr>
          <w:p w14:paraId="6FBA12CB" w14:textId="559E9BF4" w:rsidR="00571B07" w:rsidRPr="00E61B4B" w:rsidRDefault="00571B07" w:rsidP="0038361F">
            <w:pPr>
              <w:tabs>
                <w:tab w:val="left" w:pos="2745"/>
              </w:tabs>
              <w:spacing w:after="120"/>
              <w:jc w:val="both"/>
            </w:pPr>
            <w:hyperlink r:id="rId28" w:history="1">
              <w:r w:rsidRPr="00C10D12">
                <w:rPr>
                  <w:rStyle w:val="Hyperlink"/>
                </w:rPr>
                <w:t>Lecture Tutorials</w:t>
              </w:r>
            </w:hyperlink>
            <w:r>
              <w:t xml:space="preserve"> are worksheets students use throughout class with questions of increasing conceptual difficulty and guide students through lecture content. Examples of lecture tutorial worksheets are included at this site along with a guide for making your own lecture tutorial. </w:t>
            </w:r>
          </w:p>
        </w:tc>
        <w:tc>
          <w:tcPr>
            <w:tcW w:w="490" w:type="dxa"/>
          </w:tcPr>
          <w:p w14:paraId="506FF3C6" w14:textId="77777777" w:rsidR="00571B07" w:rsidRPr="006E439E" w:rsidRDefault="00571B07" w:rsidP="006E439E">
            <w:pPr>
              <w:spacing w:after="120"/>
              <w:ind w:left="720"/>
            </w:pPr>
          </w:p>
        </w:tc>
        <w:tc>
          <w:tcPr>
            <w:tcW w:w="544" w:type="dxa"/>
          </w:tcPr>
          <w:p w14:paraId="5941DE77" w14:textId="77777777" w:rsidR="00571B07" w:rsidRPr="006E439E" w:rsidRDefault="00571B07" w:rsidP="006E439E">
            <w:pPr>
              <w:spacing w:after="120"/>
              <w:ind w:left="720"/>
            </w:pPr>
          </w:p>
        </w:tc>
        <w:tc>
          <w:tcPr>
            <w:tcW w:w="649" w:type="dxa"/>
          </w:tcPr>
          <w:p w14:paraId="430C8440" w14:textId="4A8E899B" w:rsidR="00571B07" w:rsidRPr="006E439E" w:rsidRDefault="00571B07" w:rsidP="006E439E">
            <w:pPr>
              <w:spacing w:after="120"/>
              <w:ind w:left="720"/>
            </w:pPr>
          </w:p>
        </w:tc>
      </w:tr>
      <w:tr w:rsidR="00571B07" w:rsidRPr="006E439E" w14:paraId="6653EA42" w14:textId="523A56C7" w:rsidTr="00BB50FC">
        <w:trPr>
          <w:cantSplit/>
        </w:trPr>
        <w:tc>
          <w:tcPr>
            <w:tcW w:w="426" w:type="dxa"/>
          </w:tcPr>
          <w:p w14:paraId="365AEC43" w14:textId="06A87B11" w:rsidR="00571B07" w:rsidRDefault="00571B07" w:rsidP="006E439E">
            <w:pPr>
              <w:tabs>
                <w:tab w:val="left" w:pos="2745"/>
              </w:tabs>
              <w:spacing w:after="120"/>
              <w:jc w:val="both"/>
            </w:pPr>
            <w:r>
              <w:t>19</w:t>
            </w:r>
          </w:p>
        </w:tc>
        <w:tc>
          <w:tcPr>
            <w:tcW w:w="7539" w:type="dxa"/>
          </w:tcPr>
          <w:p w14:paraId="4B036924" w14:textId="4CD8E669" w:rsidR="00571B07" w:rsidRDefault="00571B07" w:rsidP="00B311C2">
            <w:pPr>
              <w:tabs>
                <w:tab w:val="left" w:pos="2745"/>
              </w:tabs>
              <w:spacing w:after="120"/>
              <w:jc w:val="both"/>
            </w:pPr>
            <w:r>
              <w:t xml:space="preserve">Metacognition- </w:t>
            </w:r>
            <w:hyperlink r:id="rId29" w:history="1">
              <w:r w:rsidRPr="00C10D12">
                <w:rPr>
                  <w:rStyle w:val="Hyperlink"/>
                </w:rPr>
                <w:t>Minute Paper</w:t>
              </w:r>
            </w:hyperlink>
            <w:r>
              <w:t xml:space="preserve">, Muddiest Point, etc. are similar short writing techniques that students complete in class to summarize what they have just learned (or what is confusing to them). These metacognitive activities are important to students recognizing what they have learned (or not learned) and provide instructors with feedback that can be used in subsequent class periods to clarify misconceptions as needed. Suggestions for collecting, organizing and responding to materials like Minute Papers in large lecture courses is </w:t>
            </w:r>
            <w:hyperlink r:id="rId30" w:history="1">
              <w:r w:rsidRPr="00E55BBC">
                <w:rPr>
                  <w:rStyle w:val="Hyperlink"/>
                </w:rPr>
                <w:t>here</w:t>
              </w:r>
            </w:hyperlink>
            <w:r>
              <w:t xml:space="preserve">. </w:t>
            </w:r>
          </w:p>
        </w:tc>
        <w:tc>
          <w:tcPr>
            <w:tcW w:w="490" w:type="dxa"/>
          </w:tcPr>
          <w:p w14:paraId="5CE55DFF" w14:textId="77777777" w:rsidR="00571B07" w:rsidRPr="006E439E" w:rsidRDefault="00571B07" w:rsidP="006E439E">
            <w:pPr>
              <w:spacing w:after="120"/>
              <w:ind w:left="720"/>
            </w:pPr>
          </w:p>
        </w:tc>
        <w:tc>
          <w:tcPr>
            <w:tcW w:w="544" w:type="dxa"/>
          </w:tcPr>
          <w:p w14:paraId="5EBA77F2" w14:textId="77777777" w:rsidR="00571B07" w:rsidRPr="006E439E" w:rsidRDefault="00571B07" w:rsidP="006E439E">
            <w:pPr>
              <w:spacing w:after="120"/>
              <w:ind w:left="720"/>
            </w:pPr>
          </w:p>
        </w:tc>
        <w:tc>
          <w:tcPr>
            <w:tcW w:w="649" w:type="dxa"/>
          </w:tcPr>
          <w:p w14:paraId="231FEDBB" w14:textId="4F006F4B" w:rsidR="00571B07" w:rsidRPr="006E439E" w:rsidRDefault="00571B07" w:rsidP="006E439E">
            <w:pPr>
              <w:spacing w:after="120"/>
              <w:ind w:left="720"/>
            </w:pPr>
          </w:p>
        </w:tc>
        <w:bookmarkStart w:id="0" w:name="_GoBack"/>
        <w:bookmarkEnd w:id="0"/>
      </w:tr>
    </w:tbl>
    <w:p w14:paraId="597926E0" w14:textId="68F6C554" w:rsidR="00571B07" w:rsidRDefault="00BB50FC">
      <w:r>
        <w:rPr>
          <w:noProof/>
        </w:rPr>
        <w:drawing>
          <wp:anchor distT="0" distB="0" distL="114300" distR="114300" simplePos="0" relativeHeight="251660288" behindDoc="1" locked="0" layoutInCell="1" allowOverlap="1" wp14:anchorId="2243FE72" wp14:editId="558B6C21">
            <wp:simplePos x="0" y="0"/>
            <wp:positionH relativeFrom="column">
              <wp:posOffset>2905125</wp:posOffset>
            </wp:positionH>
            <wp:positionV relativeFrom="paragraph">
              <wp:posOffset>137160</wp:posOffset>
            </wp:positionV>
            <wp:extent cx="3648075" cy="1996440"/>
            <wp:effectExtent l="0" t="0" r="0" b="3810"/>
            <wp:wrapThrough wrapText="bothSides">
              <wp:wrapPolygon edited="0">
                <wp:start x="0" y="0"/>
                <wp:lineTo x="0" y="21435"/>
                <wp:lineTo x="21431" y="21435"/>
                <wp:lineTo x="21431" y="0"/>
                <wp:lineTo x="0" y="0"/>
              </wp:wrapPolygon>
            </wp:wrapThrough>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6343C5E" wp14:editId="5DFD06D3">
            <wp:simplePos x="0" y="0"/>
            <wp:positionH relativeFrom="column">
              <wp:posOffset>-704850</wp:posOffset>
            </wp:positionH>
            <wp:positionV relativeFrom="paragraph">
              <wp:posOffset>133350</wp:posOffset>
            </wp:positionV>
            <wp:extent cx="3648075" cy="1996440"/>
            <wp:effectExtent l="0" t="0" r="0" b="3810"/>
            <wp:wrapNone/>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sectPr w:rsidR="00571B07">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E724" w14:textId="77777777" w:rsidR="00F34EF8" w:rsidRDefault="00F34EF8" w:rsidP="00BB50FC">
      <w:r>
        <w:separator/>
      </w:r>
    </w:p>
  </w:endnote>
  <w:endnote w:type="continuationSeparator" w:id="0">
    <w:p w14:paraId="68A4E175" w14:textId="77777777" w:rsidR="00F34EF8" w:rsidRDefault="00F34EF8" w:rsidP="00BB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F3AF" w14:textId="77777777" w:rsidR="00F34EF8" w:rsidRDefault="00F34EF8" w:rsidP="00BB50FC">
      <w:r>
        <w:separator/>
      </w:r>
    </w:p>
  </w:footnote>
  <w:footnote w:type="continuationSeparator" w:id="0">
    <w:p w14:paraId="7BC695D3" w14:textId="77777777" w:rsidR="00F34EF8" w:rsidRDefault="00F34EF8" w:rsidP="00BB5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4B60" w14:textId="77777777" w:rsidR="00BB50FC" w:rsidRDefault="00BB50FC" w:rsidP="00BB50FC">
    <w:pPr>
      <w:spacing w:after="120"/>
      <w:rPr>
        <w:rFonts w:eastAsia="Times New Roman" w:cs="Times New Roman"/>
      </w:rPr>
    </w:pPr>
    <w:r w:rsidRPr="00E61B4B">
      <w:rPr>
        <w:rFonts w:eastAsia="Times New Roman" w:cs="Times New Roman"/>
      </w:rPr>
      <w:t>Teaching Methods</w:t>
    </w:r>
    <w:r>
      <w:rPr>
        <w:rFonts w:eastAsia="Times New Roman" w:cs="Times New Roman"/>
      </w:rPr>
      <w:t xml:space="preserve"> Sources</w:t>
    </w:r>
    <w:r w:rsidRPr="00E61B4B">
      <w:rPr>
        <w:rFonts w:eastAsia="Times New Roman" w:cs="Times New Roman"/>
      </w:rPr>
      <w:t xml:space="preserve">: </w:t>
    </w:r>
    <w:r>
      <w:rPr>
        <w:rFonts w:eastAsia="Times New Roman" w:cs="Times New Roman"/>
      </w:rPr>
      <w:t xml:space="preserve"> </w:t>
    </w:r>
    <w:hyperlink r:id="rId1" w:history="1">
      <w:r w:rsidRPr="00E61B4B">
        <w:rPr>
          <w:rStyle w:val="Hyperlink"/>
          <w:rFonts w:eastAsia="Times New Roman" w:cs="Times New Roman"/>
        </w:rPr>
        <w:t>http://serc.carleton.edu/sp/library/pedagogies.html</w:t>
      </w:r>
    </w:hyperlink>
    <w:r w:rsidRPr="00E61B4B">
      <w:rPr>
        <w:rFonts w:eastAsia="Times New Roman" w:cs="Times New Roman"/>
      </w:rPr>
      <w:t xml:space="preserve"> </w:t>
    </w:r>
    <w:r>
      <w:rPr>
        <w:rFonts w:eastAsia="Times New Roman" w:cs="Times New Roman"/>
      </w:rPr>
      <w:t xml:space="preserve"> and </w:t>
    </w:r>
    <w:hyperlink r:id="rId2" w:history="1">
      <w:r w:rsidRPr="00E61B4B">
        <w:rPr>
          <w:rStyle w:val="Hyperlink"/>
          <w:rFonts w:eastAsia="Times New Roman" w:cs="Times New Roman"/>
        </w:rPr>
        <w:t>http://serc.carleton.edu/introgeo/gallerywalk/active.html</w:t>
      </w:r>
    </w:hyperlink>
    <w:r w:rsidRPr="00E61B4B">
      <w:rPr>
        <w:rFonts w:eastAsia="Times New Roman" w:cs="Times New Roman"/>
      </w:rPr>
      <w:t xml:space="preserve"> </w:t>
    </w:r>
  </w:p>
  <w:p w14:paraId="3BD268BE" w14:textId="77777777" w:rsidR="00BB50FC" w:rsidRDefault="00BB5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151F"/>
    <w:multiLevelType w:val="multilevel"/>
    <w:tmpl w:val="648A9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A7F9E"/>
    <w:multiLevelType w:val="multilevel"/>
    <w:tmpl w:val="648A9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343DD"/>
    <w:multiLevelType w:val="multilevel"/>
    <w:tmpl w:val="648A9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D4C2E"/>
    <w:multiLevelType w:val="multilevel"/>
    <w:tmpl w:val="648A9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F"/>
    <w:rsid w:val="00044BF8"/>
    <w:rsid w:val="00093CBA"/>
    <w:rsid w:val="00141E8F"/>
    <w:rsid w:val="002D6ACE"/>
    <w:rsid w:val="00381F2F"/>
    <w:rsid w:val="0038361F"/>
    <w:rsid w:val="004D0010"/>
    <w:rsid w:val="00536FC2"/>
    <w:rsid w:val="00554453"/>
    <w:rsid w:val="00571B07"/>
    <w:rsid w:val="005F7EF3"/>
    <w:rsid w:val="006B48AA"/>
    <w:rsid w:val="006E439E"/>
    <w:rsid w:val="0073546B"/>
    <w:rsid w:val="00756E78"/>
    <w:rsid w:val="00777246"/>
    <w:rsid w:val="00856EA7"/>
    <w:rsid w:val="00891E9E"/>
    <w:rsid w:val="008D5AE6"/>
    <w:rsid w:val="00AE104A"/>
    <w:rsid w:val="00B00757"/>
    <w:rsid w:val="00B311C2"/>
    <w:rsid w:val="00BB50FC"/>
    <w:rsid w:val="00C10D12"/>
    <w:rsid w:val="00CD1BD8"/>
    <w:rsid w:val="00DF0B8F"/>
    <w:rsid w:val="00E55BBC"/>
    <w:rsid w:val="00E61B4B"/>
    <w:rsid w:val="00EE2CB3"/>
    <w:rsid w:val="00F3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B9AA"/>
  <w15:chartTrackingRefBased/>
  <w15:docId w15:val="{41C6F4CA-A62E-4EEC-A13C-AF6FD8CB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0B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8F"/>
    <w:rPr>
      <w:color w:val="0000FF"/>
      <w:u w:val="single"/>
    </w:rPr>
  </w:style>
  <w:style w:type="character" w:customStyle="1" w:styleId="small">
    <w:name w:val="small"/>
    <w:basedOn w:val="DefaultParagraphFont"/>
    <w:rsid w:val="00DF0B8F"/>
  </w:style>
  <w:style w:type="character" w:customStyle="1" w:styleId="Heading2Char">
    <w:name w:val="Heading 2 Char"/>
    <w:basedOn w:val="DefaultParagraphFont"/>
    <w:link w:val="Heading2"/>
    <w:uiPriority w:val="9"/>
    <w:rsid w:val="00DF0B8F"/>
    <w:rPr>
      <w:rFonts w:ascii="Times New Roman" w:eastAsia="Times New Roman" w:hAnsi="Times New Roman" w:cs="Times New Roman"/>
      <w:b/>
      <w:bCs/>
      <w:sz w:val="36"/>
      <w:szCs w:val="36"/>
    </w:rPr>
  </w:style>
  <w:style w:type="character" w:styleId="Strong">
    <w:name w:val="Strong"/>
    <w:basedOn w:val="DefaultParagraphFont"/>
    <w:uiPriority w:val="22"/>
    <w:qFormat/>
    <w:rsid w:val="00DF0B8F"/>
    <w:rPr>
      <w:b/>
      <w:bCs/>
    </w:rPr>
  </w:style>
  <w:style w:type="paragraph" w:styleId="ListParagraph">
    <w:name w:val="List Paragraph"/>
    <w:basedOn w:val="Normal"/>
    <w:uiPriority w:val="34"/>
    <w:qFormat/>
    <w:rsid w:val="00DF0B8F"/>
    <w:pPr>
      <w:ind w:left="720"/>
      <w:contextualSpacing/>
    </w:pPr>
  </w:style>
  <w:style w:type="character" w:styleId="FollowedHyperlink">
    <w:name w:val="FollowedHyperlink"/>
    <w:basedOn w:val="DefaultParagraphFont"/>
    <w:uiPriority w:val="99"/>
    <w:semiHidden/>
    <w:unhideWhenUsed/>
    <w:rsid w:val="00DF0B8F"/>
    <w:rPr>
      <w:color w:val="954F72" w:themeColor="followedHyperlink"/>
      <w:u w:val="single"/>
    </w:rPr>
  </w:style>
  <w:style w:type="paragraph" w:styleId="NormalWeb">
    <w:name w:val="Normal (Web)"/>
    <w:basedOn w:val="Normal"/>
    <w:uiPriority w:val="99"/>
    <w:semiHidden/>
    <w:unhideWhenUsed/>
    <w:rsid w:val="00554453"/>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0757"/>
    <w:rPr>
      <w:sz w:val="16"/>
      <w:szCs w:val="16"/>
    </w:rPr>
  </w:style>
  <w:style w:type="paragraph" w:styleId="CommentText">
    <w:name w:val="annotation text"/>
    <w:basedOn w:val="Normal"/>
    <w:link w:val="CommentTextChar"/>
    <w:uiPriority w:val="99"/>
    <w:semiHidden/>
    <w:unhideWhenUsed/>
    <w:rsid w:val="00B00757"/>
    <w:rPr>
      <w:sz w:val="20"/>
      <w:szCs w:val="20"/>
    </w:rPr>
  </w:style>
  <w:style w:type="character" w:customStyle="1" w:styleId="CommentTextChar">
    <w:name w:val="Comment Text Char"/>
    <w:basedOn w:val="DefaultParagraphFont"/>
    <w:link w:val="CommentText"/>
    <w:uiPriority w:val="99"/>
    <w:semiHidden/>
    <w:rsid w:val="00B00757"/>
    <w:rPr>
      <w:sz w:val="20"/>
      <w:szCs w:val="20"/>
    </w:rPr>
  </w:style>
  <w:style w:type="paragraph" w:styleId="CommentSubject">
    <w:name w:val="annotation subject"/>
    <w:basedOn w:val="CommentText"/>
    <w:next w:val="CommentText"/>
    <w:link w:val="CommentSubjectChar"/>
    <w:uiPriority w:val="99"/>
    <w:semiHidden/>
    <w:unhideWhenUsed/>
    <w:rsid w:val="00B00757"/>
    <w:rPr>
      <w:b/>
      <w:bCs/>
    </w:rPr>
  </w:style>
  <w:style w:type="character" w:customStyle="1" w:styleId="CommentSubjectChar">
    <w:name w:val="Comment Subject Char"/>
    <w:basedOn w:val="CommentTextChar"/>
    <w:link w:val="CommentSubject"/>
    <w:uiPriority w:val="99"/>
    <w:semiHidden/>
    <w:rsid w:val="00B00757"/>
    <w:rPr>
      <w:b/>
      <w:bCs/>
      <w:sz w:val="20"/>
      <w:szCs w:val="20"/>
    </w:rPr>
  </w:style>
  <w:style w:type="paragraph" w:styleId="BalloonText">
    <w:name w:val="Balloon Text"/>
    <w:basedOn w:val="Normal"/>
    <w:link w:val="BalloonTextChar"/>
    <w:uiPriority w:val="99"/>
    <w:semiHidden/>
    <w:unhideWhenUsed/>
    <w:rsid w:val="00B00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57"/>
    <w:rPr>
      <w:rFonts w:ascii="Segoe UI" w:hAnsi="Segoe UI" w:cs="Segoe UI"/>
      <w:sz w:val="18"/>
      <w:szCs w:val="18"/>
    </w:rPr>
  </w:style>
  <w:style w:type="table" w:styleId="TableGrid">
    <w:name w:val="Table Grid"/>
    <w:basedOn w:val="TableNormal"/>
    <w:uiPriority w:val="39"/>
    <w:rsid w:val="006E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FC"/>
    <w:pPr>
      <w:tabs>
        <w:tab w:val="center" w:pos="4680"/>
        <w:tab w:val="right" w:pos="9360"/>
      </w:tabs>
    </w:pPr>
  </w:style>
  <w:style w:type="character" w:customStyle="1" w:styleId="HeaderChar">
    <w:name w:val="Header Char"/>
    <w:basedOn w:val="DefaultParagraphFont"/>
    <w:link w:val="Header"/>
    <w:uiPriority w:val="99"/>
    <w:rsid w:val="00BB50FC"/>
  </w:style>
  <w:style w:type="paragraph" w:styleId="Footer">
    <w:name w:val="footer"/>
    <w:basedOn w:val="Normal"/>
    <w:link w:val="FooterChar"/>
    <w:uiPriority w:val="99"/>
    <w:unhideWhenUsed/>
    <w:rsid w:val="00BB50FC"/>
    <w:pPr>
      <w:tabs>
        <w:tab w:val="center" w:pos="4680"/>
        <w:tab w:val="right" w:pos="9360"/>
      </w:tabs>
    </w:pPr>
  </w:style>
  <w:style w:type="character" w:customStyle="1" w:styleId="FooterChar">
    <w:name w:val="Footer Char"/>
    <w:basedOn w:val="DefaultParagraphFont"/>
    <w:link w:val="Footer"/>
    <w:uiPriority w:val="99"/>
    <w:rsid w:val="00BB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6773">
      <w:bodyDiv w:val="1"/>
      <w:marLeft w:val="0"/>
      <w:marRight w:val="0"/>
      <w:marTop w:val="0"/>
      <w:marBottom w:val="0"/>
      <w:divBdr>
        <w:top w:val="none" w:sz="0" w:space="0" w:color="auto"/>
        <w:left w:val="none" w:sz="0" w:space="0" w:color="auto"/>
        <w:bottom w:val="none" w:sz="0" w:space="0" w:color="auto"/>
        <w:right w:val="none" w:sz="0" w:space="0" w:color="auto"/>
      </w:divBdr>
    </w:div>
    <w:div w:id="14758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sp/library/interactive/examples/morrisonpuzzle.html" TargetMode="External"/><Relationship Id="rId13" Type="http://schemas.openxmlformats.org/officeDocument/2006/relationships/hyperlink" Target="http://serc.carleton.edu/sp/library/teachingwdata/index.html" TargetMode="External"/><Relationship Id="rId18" Type="http://schemas.openxmlformats.org/officeDocument/2006/relationships/hyperlink" Target="http://serc.carleton.edu/NAGTWorkshops/structure/SGT2012/activities/62805.html" TargetMode="External"/><Relationship Id="rId26" Type="http://schemas.openxmlformats.org/officeDocument/2006/relationships/hyperlink" Target="http://cmap.ihmc.us/docs/theory-of-concept-maps" TargetMode="External"/><Relationship Id="rId3" Type="http://schemas.openxmlformats.org/officeDocument/2006/relationships/settings" Target="settings.xml"/><Relationship Id="rId21" Type="http://schemas.openxmlformats.org/officeDocument/2006/relationships/hyperlink" Target="http://serc.carleton.edu/introgeo/icbl/index.html" TargetMode="External"/><Relationship Id="rId34" Type="http://schemas.openxmlformats.org/officeDocument/2006/relationships/fontTable" Target="fontTable.xml"/><Relationship Id="rId7" Type="http://schemas.openxmlformats.org/officeDocument/2006/relationships/hyperlink" Target="http://serc.carleton.edu/sp/library/interactive/tpshare.html" TargetMode="External"/><Relationship Id="rId12" Type="http://schemas.openxmlformats.org/officeDocument/2006/relationships/hyperlink" Target="http://serc.carleton.edu/sp/library/peerreview/index.html" TargetMode="External"/><Relationship Id="rId17" Type="http://schemas.openxmlformats.org/officeDocument/2006/relationships/hyperlink" Target="http://serc.carleton.edu/NAGTWorkshops/teaching_methods/conceptests/index.html" TargetMode="External"/><Relationship Id="rId25" Type="http://schemas.openxmlformats.org/officeDocument/2006/relationships/hyperlink" Target="http://www.cmu.edu/teaching/assessment/howto/assesslearning/conceptmaps.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rc.carleton.edu/sp/library/sac/index.html" TargetMode="External"/><Relationship Id="rId20" Type="http://schemas.openxmlformats.org/officeDocument/2006/relationships/hyperlink" Target="http://serc.carleton.edu/introgeo/gallerywalk/index.html" TargetMode="External"/><Relationship Id="rId29" Type="http://schemas.openxmlformats.org/officeDocument/2006/relationships/hyperlink" Target="http://serc.carleton.edu/introgeo/interactive/oneminwri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c.carleton.edu/introgeo/socratic/fourth.html" TargetMode="External"/><Relationship Id="rId24" Type="http://schemas.openxmlformats.org/officeDocument/2006/relationships/hyperlink" Target="http://serc.carleton.edu/NAGTWorkshops/assess/conceptmaps.html" TargetMode="External"/><Relationship Id="rId32"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erc.carleton.edu/sp/library/games/index.html" TargetMode="External"/><Relationship Id="rId23" Type="http://schemas.openxmlformats.org/officeDocument/2006/relationships/hyperlink" Target="http://serc.carleton.edu/NAGTWorkshops/careerdev/AcademicCareerTeach2013/march.html" TargetMode="External"/><Relationship Id="rId28" Type="http://schemas.openxmlformats.org/officeDocument/2006/relationships/hyperlink" Target="http://serc.carleton.edu/sp/library/lecture_tutorials/index.html" TargetMode="External"/><Relationship Id="rId10" Type="http://schemas.openxmlformats.org/officeDocument/2006/relationships/hyperlink" Target="http://serc.carleton.edu/sp/library/socratic/index.html" TargetMode="External"/><Relationship Id="rId19" Type="http://schemas.openxmlformats.org/officeDocument/2006/relationships/hyperlink" Target="http://serc.carleton.edu/introgeo/jigsaws/index.html" TargetMode="External"/><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erc.carleton.edu/sp/library/interactive/roleplay.html" TargetMode="External"/><Relationship Id="rId14" Type="http://schemas.openxmlformats.org/officeDocument/2006/relationships/hyperlink" Target="http://serc.carleton.edu/introgeo/models/index.html" TargetMode="External"/><Relationship Id="rId22" Type="http://schemas.openxmlformats.org/officeDocument/2006/relationships/hyperlink" Target="http://serc.carleton.edu/sp/library/cases/examples.html" TargetMode="External"/><Relationship Id="rId27" Type="http://schemas.openxmlformats.org/officeDocument/2006/relationships/hyperlink" Target="https://msu.edu/~luckie/ctools/" TargetMode="External"/><Relationship Id="rId30" Type="http://schemas.openxmlformats.org/officeDocument/2006/relationships/hyperlink" Target="http://serc.carleton.edu/introgeo/interactive/feedback.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erc.carleton.edu/introgeo/gallerywalk/active.html" TargetMode="External"/><Relationship Id="rId1" Type="http://schemas.openxmlformats.org/officeDocument/2006/relationships/hyperlink" Target="http://serc.carleton.edu/sp/library/pedagogie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95909230692217"/>
          <c:y val="5.0925925925925923E-2"/>
          <c:w val="0.72315189484148268"/>
          <c:h val="0.74350320793234181"/>
        </c:manualLayout>
      </c:layout>
      <c:scatterChart>
        <c:scatterStyle val="lineMarker"/>
        <c:varyColors val="0"/>
        <c:ser>
          <c:idx val="0"/>
          <c:order val="0"/>
          <c:tx>
            <c:strRef>
              <c:f>Sheet1!$A$4</c:f>
              <c:strCache>
                <c:ptCount val="1"/>
                <c:pt idx="0">
                  <c:v>low</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Sheet1!$B$1:$B$3</c:f>
              <c:strCache>
                <c:ptCount val="3"/>
                <c:pt idx="0">
                  <c:v>Instructor Prep </c:v>
                </c:pt>
                <c:pt idx="1">
                  <c:v>low</c:v>
                </c:pt>
                <c:pt idx="2">
                  <c:v>medium</c:v>
                </c:pt>
              </c:strCache>
            </c:strRef>
          </c:xVal>
          <c:yVal>
            <c:numRef>
              <c:f>Sheet1!$B$4</c:f>
              <c:numCache>
                <c:formatCode>General</c:formatCode>
                <c:ptCount val="1"/>
                <c:pt idx="0">
                  <c:v>0</c:v>
                </c:pt>
              </c:numCache>
            </c:numRef>
          </c:yVal>
          <c:smooth val="0"/>
        </c:ser>
        <c:dLbls>
          <c:showLegendKey val="0"/>
          <c:showVal val="0"/>
          <c:showCatName val="0"/>
          <c:showSerName val="0"/>
          <c:showPercent val="0"/>
          <c:showBubbleSize val="0"/>
        </c:dLbls>
        <c:axId val="604918264"/>
        <c:axId val="604919832"/>
      </c:scatterChart>
      <c:valAx>
        <c:axId val="604918264"/>
        <c:scaling>
          <c:orientation val="minMax"/>
          <c:max val="3"/>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Instructor Prep </a:t>
                </a:r>
              </a:p>
            </c:rich>
          </c:tx>
          <c:layout>
            <c:manualLayout>
              <c:xMode val="edge"/>
              <c:yMode val="edge"/>
              <c:x val="0.52094313210848642"/>
              <c:y val="0.929606299212598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04919832"/>
        <c:crosses val="autoZero"/>
        <c:crossBetween val="midCat"/>
        <c:majorUnit val="1"/>
      </c:valAx>
      <c:valAx>
        <c:axId val="604919832"/>
        <c:scaling>
          <c:orientation val="minMax"/>
          <c:max val="3"/>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Ease</a:t>
                </a:r>
                <a:r>
                  <a:rPr lang="en-US" baseline="0"/>
                  <a:t> of s</a:t>
                </a:r>
                <a:r>
                  <a:rPr lang="en-US"/>
                  <a:t>tudent Use</a:t>
                </a:r>
              </a:p>
            </c:rich>
          </c:tx>
          <c:layout>
            <c:manualLayout>
              <c:xMode val="edge"/>
              <c:yMode val="edge"/>
              <c:x val="2.8177874632511667E-2"/>
              <c:y val="0.189628384618975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04918264"/>
        <c:crosses val="autoZero"/>
        <c:crossBetween val="midCat"/>
        <c:majorUnit val="1"/>
        <c:minorUnit val="0.5"/>
      </c:valAx>
      <c:spPr>
        <a:noFill/>
        <a:ln>
          <a:solidFill>
            <a:schemeClr val="bg1">
              <a:lumMod val="50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95909230692217"/>
          <c:y val="5.0925925925925923E-2"/>
          <c:w val="0.72315189484148268"/>
          <c:h val="0.74350320793234181"/>
        </c:manualLayout>
      </c:layout>
      <c:scatterChart>
        <c:scatterStyle val="lineMarker"/>
        <c:varyColors val="0"/>
        <c:ser>
          <c:idx val="0"/>
          <c:order val="0"/>
          <c:tx>
            <c:strRef>
              <c:f>Sheet1!$A$4</c:f>
              <c:strCache>
                <c:ptCount val="1"/>
                <c:pt idx="0">
                  <c:v>low</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Sheet1!$B$1:$B$3</c:f>
              <c:strCache>
                <c:ptCount val="3"/>
                <c:pt idx="0">
                  <c:v>Instructor Prep </c:v>
                </c:pt>
                <c:pt idx="1">
                  <c:v>low</c:v>
                </c:pt>
                <c:pt idx="2">
                  <c:v>medium</c:v>
                </c:pt>
              </c:strCache>
            </c:strRef>
          </c:xVal>
          <c:yVal>
            <c:numRef>
              <c:f>Sheet1!$B$4</c:f>
              <c:numCache>
                <c:formatCode>General</c:formatCode>
                <c:ptCount val="1"/>
                <c:pt idx="0">
                  <c:v>0</c:v>
                </c:pt>
              </c:numCache>
            </c:numRef>
          </c:yVal>
          <c:smooth val="0"/>
        </c:ser>
        <c:dLbls>
          <c:showLegendKey val="0"/>
          <c:showVal val="0"/>
          <c:showCatName val="0"/>
          <c:showSerName val="0"/>
          <c:showPercent val="0"/>
          <c:showBubbleSize val="0"/>
        </c:dLbls>
        <c:axId val="604919048"/>
        <c:axId val="555877256"/>
      </c:scatterChart>
      <c:valAx>
        <c:axId val="604919048"/>
        <c:scaling>
          <c:orientation val="minMax"/>
          <c:max val="3"/>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Instructor Prep </a:t>
                </a:r>
              </a:p>
            </c:rich>
          </c:tx>
          <c:layout>
            <c:manualLayout>
              <c:xMode val="edge"/>
              <c:yMode val="edge"/>
              <c:x val="0.52094313210848642"/>
              <c:y val="0.929606299212598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555877256"/>
        <c:crosses val="autoZero"/>
        <c:crossBetween val="midCat"/>
        <c:majorUnit val="1"/>
      </c:valAx>
      <c:valAx>
        <c:axId val="555877256"/>
        <c:scaling>
          <c:orientation val="minMax"/>
          <c:max val="3"/>
          <c:min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Ease to Assess Student Learning </a:t>
                </a:r>
              </a:p>
            </c:rich>
          </c:tx>
          <c:layout>
            <c:manualLayout>
              <c:xMode val="edge"/>
              <c:yMode val="edge"/>
              <c:x val="1.7734010402746653E-2"/>
              <c:y val="0.209450321572398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04919048"/>
        <c:crosses val="autoZero"/>
        <c:crossBetween val="midCat"/>
        <c:majorUnit val="1"/>
        <c:minorUnit val="0.5"/>
      </c:valAx>
      <c:spPr>
        <a:noFill/>
        <a:ln>
          <a:solidFill>
            <a:schemeClr val="bg1">
              <a:lumMod val="50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0.18125</cdr:x>
      <cdr:y>0.8125</cdr:y>
    </cdr:from>
    <cdr:to>
      <cdr:x>0.98542</cdr:x>
      <cdr:y>0.89931</cdr:y>
    </cdr:to>
    <cdr:sp macro="" textlink="">
      <cdr:nvSpPr>
        <cdr:cNvPr id="2" name="TextBox 1"/>
        <cdr:cNvSpPr txBox="1"/>
      </cdr:nvSpPr>
      <cdr:spPr>
        <a:xfrm xmlns:a="http://schemas.openxmlformats.org/drawingml/2006/main">
          <a:off x="828675" y="2228850"/>
          <a:ext cx="36766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a:t>Low	          </a:t>
          </a:r>
          <a:r>
            <a:rPr lang="en-US" sz="1050" baseline="0"/>
            <a:t>  </a:t>
          </a:r>
          <a:r>
            <a:rPr lang="en-US" sz="1050"/>
            <a:t>Medium	</a:t>
          </a:r>
          <a:r>
            <a:rPr lang="en-US" sz="1050" baseline="0"/>
            <a:t>          </a:t>
          </a:r>
          <a:r>
            <a:rPr lang="en-US" sz="1050"/>
            <a:t>          High</a:t>
          </a:r>
        </a:p>
      </cdr:txBody>
    </cdr:sp>
  </cdr:relSizeAnchor>
  <cdr:relSizeAnchor xmlns:cdr="http://schemas.openxmlformats.org/drawingml/2006/chartDrawing">
    <cdr:from>
      <cdr:x>0.05839</cdr:x>
      <cdr:y>0</cdr:y>
    </cdr:from>
    <cdr:to>
      <cdr:x>0.24103</cdr:x>
      <cdr:y>0.84953</cdr:y>
    </cdr:to>
    <cdr:sp macro="" textlink="">
      <cdr:nvSpPr>
        <cdr:cNvPr id="3" name="TextBox 1"/>
        <cdr:cNvSpPr txBox="1"/>
      </cdr:nvSpPr>
      <cdr:spPr>
        <a:xfrm xmlns:a="http://schemas.openxmlformats.org/drawingml/2006/main">
          <a:off x="204104" y="0"/>
          <a:ext cx="638450" cy="200514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a:effectLst/>
              <a:latin typeface="+mn-lt"/>
              <a:ea typeface="+mn-ea"/>
              <a:cs typeface="+mn-cs"/>
            </a:rPr>
            <a:t>High</a:t>
          </a:r>
        </a:p>
        <a:p xmlns:a="http://schemas.openxmlformats.org/drawingml/2006/main">
          <a:pPr algn="r"/>
          <a:endParaRPr lang="en-US" sz="1000"/>
        </a:p>
        <a:p xmlns:a="http://schemas.openxmlformats.org/drawingml/2006/main">
          <a:pPr algn="r"/>
          <a:endParaRPr lang="en-US" sz="1000"/>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Medium</a:t>
          </a:r>
        </a:p>
        <a:p xmlns:a="http://schemas.openxmlformats.org/drawingml/2006/main">
          <a:pPr algn="r"/>
          <a:endParaRPr lang="en-US" sz="1000">
            <a:effectLst/>
            <a:latin typeface="+mn-lt"/>
            <a:ea typeface="+mn-ea"/>
            <a:cs typeface="+mn-cs"/>
          </a:endParaRPr>
        </a:p>
        <a:p xmlns:a="http://schemas.openxmlformats.org/drawingml/2006/main">
          <a:pPr algn="r"/>
          <a:endParaRPr lang="en-US" sz="1000">
            <a:effectLst/>
            <a:latin typeface="+mn-lt"/>
            <a:ea typeface="+mn-ea"/>
            <a:cs typeface="+mn-cs"/>
          </a:endParaRPr>
        </a:p>
        <a:p xmlns:a="http://schemas.openxmlformats.org/drawingml/2006/main">
          <a:pPr algn="r"/>
          <a:endParaRPr lang="en-US" sz="1000">
            <a:effectLst/>
            <a:latin typeface="+mn-lt"/>
            <a:ea typeface="+mn-ea"/>
            <a:cs typeface="+mn-cs"/>
          </a:endParaRPr>
        </a:p>
        <a:p xmlns:a="http://schemas.openxmlformats.org/drawingml/2006/main">
          <a:pPr algn="r"/>
          <a:r>
            <a:rPr lang="en-US" sz="1000">
              <a:effectLst/>
              <a:latin typeface="+mn-lt"/>
              <a:ea typeface="+mn-ea"/>
              <a:cs typeface="+mn-cs"/>
            </a:rPr>
            <a:t>Low </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0.18125</cdr:x>
      <cdr:y>0.8125</cdr:y>
    </cdr:from>
    <cdr:to>
      <cdr:x>0.98542</cdr:x>
      <cdr:y>0.89931</cdr:y>
    </cdr:to>
    <cdr:sp macro="" textlink="">
      <cdr:nvSpPr>
        <cdr:cNvPr id="2" name="TextBox 1"/>
        <cdr:cNvSpPr txBox="1"/>
      </cdr:nvSpPr>
      <cdr:spPr>
        <a:xfrm xmlns:a="http://schemas.openxmlformats.org/drawingml/2006/main">
          <a:off x="828675" y="2228850"/>
          <a:ext cx="36766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a:t>Low	          </a:t>
          </a:r>
          <a:r>
            <a:rPr lang="en-US" sz="1050" baseline="0"/>
            <a:t>  </a:t>
          </a:r>
          <a:r>
            <a:rPr lang="en-US" sz="1050"/>
            <a:t>Medium	</a:t>
          </a:r>
          <a:r>
            <a:rPr lang="en-US" sz="1050" baseline="0"/>
            <a:t>          </a:t>
          </a:r>
          <a:r>
            <a:rPr lang="en-US" sz="1050"/>
            <a:t>          High</a:t>
          </a:r>
        </a:p>
      </cdr:txBody>
    </cdr:sp>
  </cdr:relSizeAnchor>
  <cdr:relSizeAnchor xmlns:cdr="http://schemas.openxmlformats.org/drawingml/2006/chartDrawing">
    <cdr:from>
      <cdr:x>0.05839</cdr:x>
      <cdr:y>0</cdr:y>
    </cdr:from>
    <cdr:to>
      <cdr:x>0.24103</cdr:x>
      <cdr:y>0.84953</cdr:y>
    </cdr:to>
    <cdr:sp macro="" textlink="">
      <cdr:nvSpPr>
        <cdr:cNvPr id="3" name="TextBox 1"/>
        <cdr:cNvSpPr txBox="1"/>
      </cdr:nvSpPr>
      <cdr:spPr>
        <a:xfrm xmlns:a="http://schemas.openxmlformats.org/drawingml/2006/main">
          <a:off x="204104" y="0"/>
          <a:ext cx="638450" cy="200514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a:effectLst/>
              <a:latin typeface="+mn-lt"/>
              <a:ea typeface="+mn-ea"/>
              <a:cs typeface="+mn-cs"/>
            </a:rPr>
            <a:t>High</a:t>
          </a:r>
        </a:p>
        <a:p xmlns:a="http://schemas.openxmlformats.org/drawingml/2006/main">
          <a:pPr algn="r"/>
          <a:endParaRPr lang="en-US" sz="1000"/>
        </a:p>
        <a:p xmlns:a="http://schemas.openxmlformats.org/drawingml/2006/main">
          <a:pPr algn="r"/>
          <a:endParaRPr lang="en-US" sz="1000"/>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Medium</a:t>
          </a:r>
        </a:p>
        <a:p xmlns:a="http://schemas.openxmlformats.org/drawingml/2006/main">
          <a:pPr algn="r"/>
          <a:endParaRPr lang="en-US" sz="1000">
            <a:effectLst/>
            <a:latin typeface="+mn-lt"/>
            <a:ea typeface="+mn-ea"/>
            <a:cs typeface="+mn-cs"/>
          </a:endParaRPr>
        </a:p>
        <a:p xmlns:a="http://schemas.openxmlformats.org/drawingml/2006/main">
          <a:pPr algn="r"/>
          <a:endParaRPr lang="en-US" sz="1000">
            <a:effectLst/>
            <a:latin typeface="+mn-lt"/>
            <a:ea typeface="+mn-ea"/>
            <a:cs typeface="+mn-cs"/>
          </a:endParaRPr>
        </a:p>
        <a:p xmlns:a="http://schemas.openxmlformats.org/drawingml/2006/main">
          <a:pPr algn="r"/>
          <a:endParaRPr lang="en-US" sz="1000">
            <a:effectLst/>
            <a:latin typeface="+mn-lt"/>
            <a:ea typeface="+mn-ea"/>
            <a:cs typeface="+mn-cs"/>
          </a:endParaRPr>
        </a:p>
        <a:p xmlns:a="http://schemas.openxmlformats.org/drawingml/2006/main">
          <a:pPr algn="r"/>
          <a:r>
            <a:rPr lang="en-US" sz="1000">
              <a:effectLst/>
              <a:latin typeface="+mn-lt"/>
              <a:ea typeface="+mn-ea"/>
              <a:cs typeface="+mn-cs"/>
            </a:rPr>
            <a:t>Low </a:t>
          </a:r>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Rachel</dc:creator>
  <cp:keywords/>
  <dc:description/>
  <cp:lastModifiedBy>Teasdale, Rachel</cp:lastModifiedBy>
  <cp:revision>4</cp:revision>
  <dcterms:created xsi:type="dcterms:W3CDTF">2016-07-13T03:38:00Z</dcterms:created>
  <dcterms:modified xsi:type="dcterms:W3CDTF">2016-07-16T20:25:00Z</dcterms:modified>
</cp:coreProperties>
</file>