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EAB5" w14:textId="54321A5E" w:rsidR="00F414F8" w:rsidRPr="000D2F83" w:rsidRDefault="00472FDB" w:rsidP="000D2F83">
      <w:pPr>
        <w:pStyle w:val="Title"/>
      </w:pPr>
      <w:proofErr w:type="spellStart"/>
      <w:r>
        <w:t>OpenTopography</w:t>
      </w:r>
      <w:proofErr w:type="spellEnd"/>
      <w:r>
        <w:t xml:space="preserve"> Data Sources </w:t>
      </w:r>
      <w:r w:rsidR="00105173">
        <w:t>and Topographic</w:t>
      </w:r>
      <w:bookmarkStart w:id="0" w:name="_GoBack"/>
      <w:bookmarkEnd w:id="0"/>
      <w:r w:rsidR="00105173">
        <w:t xml:space="preserve"> Differencing</w:t>
      </w:r>
    </w:p>
    <w:p w14:paraId="5180151A" w14:textId="66694BE7" w:rsidR="002122C2" w:rsidRDefault="002122C2" w:rsidP="002122C2">
      <w:pPr>
        <w:pStyle w:val="Authortext"/>
      </w:pPr>
      <w:r>
        <w:t xml:space="preserve">Sharon Bywater-Reyes (University of Northern Colorado) </w:t>
      </w:r>
    </w:p>
    <w:p w14:paraId="79580345" w14:textId="1502D421" w:rsidR="002122C2" w:rsidRDefault="00472FDB" w:rsidP="00472FDB">
      <w:pPr>
        <w:pStyle w:val="Heading1"/>
        <w:rPr>
          <w:rFonts w:ascii="Times New Roman" w:hAnsi="Times New Roman" w:cs="Times New Roman"/>
          <w:b w:val="0"/>
          <w:i/>
        </w:rPr>
      </w:pPr>
      <w:r>
        <w:rPr>
          <w:rFonts w:ascii="Times New Roman" w:hAnsi="Times New Roman" w:cs="Times New Roman"/>
          <w:b w:val="0"/>
          <w:i/>
        </w:rPr>
        <w:t xml:space="preserve">This exercise uses open data sources, focusing on Airborne Laser Swath </w:t>
      </w:r>
      <w:proofErr w:type="spellStart"/>
      <w:r>
        <w:rPr>
          <w:rFonts w:ascii="Times New Roman" w:hAnsi="Times New Roman" w:cs="Times New Roman"/>
          <w:b w:val="0"/>
          <w:i/>
        </w:rPr>
        <w:t>Maping</w:t>
      </w:r>
      <w:proofErr w:type="spellEnd"/>
      <w:r>
        <w:rPr>
          <w:rFonts w:ascii="Times New Roman" w:hAnsi="Times New Roman" w:cs="Times New Roman"/>
          <w:b w:val="0"/>
          <w:i/>
        </w:rPr>
        <w:t xml:space="preserve"> (ALSM) using </w:t>
      </w:r>
      <w:proofErr w:type="spellStart"/>
      <w:r>
        <w:rPr>
          <w:rFonts w:ascii="Times New Roman" w:hAnsi="Times New Roman" w:cs="Times New Roman"/>
          <w:b w:val="0"/>
          <w:i/>
        </w:rPr>
        <w:t>OpenTopography</w:t>
      </w:r>
      <w:proofErr w:type="spellEnd"/>
      <w:r>
        <w:rPr>
          <w:rFonts w:ascii="Times New Roman" w:hAnsi="Times New Roman" w:cs="Times New Roman"/>
          <w:b w:val="0"/>
          <w:i/>
        </w:rPr>
        <w:t xml:space="preserve">. Information from </w:t>
      </w:r>
      <w:hyperlink r:id="rId8" w:history="1">
        <w:r w:rsidRPr="00D21372">
          <w:rPr>
            <w:rStyle w:val="Hyperlink"/>
            <w:rFonts w:ascii="Times New Roman" w:hAnsi="Times New Roman" w:cs="Times New Roman"/>
            <w:b w:val="0"/>
            <w:i/>
          </w:rPr>
          <w:t>https://opentopography.org/about</w:t>
        </w:r>
      </w:hyperlink>
      <w:r>
        <w:rPr>
          <w:rFonts w:ascii="Times New Roman" w:hAnsi="Times New Roman" w:cs="Times New Roman"/>
          <w:b w:val="0"/>
          <w:i/>
        </w:rPr>
        <w:t xml:space="preserve"> </w:t>
      </w:r>
    </w:p>
    <w:p w14:paraId="2890BF32" w14:textId="77777777" w:rsidR="00472FDB" w:rsidRPr="00472FDB" w:rsidRDefault="00472FDB" w:rsidP="00472FDB"/>
    <w:p w14:paraId="1BD2E9BE" w14:textId="55716168" w:rsidR="00472FDB" w:rsidRDefault="00472FDB" w:rsidP="00472FDB">
      <w:pPr>
        <w:pStyle w:val="Heading1"/>
        <w:spacing w:before="0" w:after="0"/>
        <w:rPr>
          <w:sz w:val="48"/>
          <w:szCs w:val="48"/>
        </w:rPr>
      </w:pPr>
      <w:r>
        <w:t xml:space="preserve">About </w:t>
      </w:r>
      <w:proofErr w:type="spellStart"/>
      <w:r>
        <w:t>OpenTopography</w:t>
      </w:r>
      <w:proofErr w:type="spellEnd"/>
      <w:r w:rsidR="00340E37">
        <w:t xml:space="preserve"> (OT)</w:t>
      </w:r>
    </w:p>
    <w:p w14:paraId="055DD7F2" w14:textId="411ACF5E" w:rsidR="00472FDB" w:rsidRDefault="00472FDB" w:rsidP="00472FDB">
      <w:pPr>
        <w:pStyle w:val="NormalWeb"/>
        <w:spacing w:before="0" w:beforeAutospacing="0" w:after="0" w:afterAutospacing="0"/>
      </w:pPr>
      <w:proofErr w:type="spellStart"/>
      <w:r>
        <w:rPr>
          <w:rStyle w:val="Emphasis"/>
        </w:rPr>
        <w:t>OpenTopography</w:t>
      </w:r>
      <w:proofErr w:type="spellEnd"/>
      <w:r>
        <w:rPr>
          <w:rStyle w:val="Emphasis"/>
        </w:rPr>
        <w:t xml:space="preserve"> facilitates community access to high-resolution, Earth science-oriented, topography data, and related tools and resources.</w:t>
      </w:r>
      <w:r>
        <w:t xml:space="preserve"> </w:t>
      </w:r>
    </w:p>
    <w:p w14:paraId="3C921F04" w14:textId="77777777" w:rsidR="00472FDB" w:rsidRDefault="00472FDB" w:rsidP="00472FDB">
      <w:pPr>
        <w:pStyle w:val="NormalWeb"/>
        <w:spacing w:before="0" w:beforeAutospacing="0" w:after="0" w:afterAutospacing="0"/>
      </w:pPr>
    </w:p>
    <w:p w14:paraId="7C32220C" w14:textId="77777777" w:rsidR="00472FDB" w:rsidRPr="00472FDB" w:rsidRDefault="00472FDB" w:rsidP="00472FDB">
      <w:pPr>
        <w:pStyle w:val="Heading2"/>
        <w:spacing w:after="0"/>
      </w:pPr>
      <w:r w:rsidRPr="00472FDB">
        <w:rPr>
          <w:rStyle w:val="Strong"/>
          <w:b w:val="0"/>
          <w:bCs/>
        </w:rPr>
        <w:t xml:space="preserve">The mission of the </w:t>
      </w:r>
      <w:proofErr w:type="spellStart"/>
      <w:r w:rsidRPr="00472FDB">
        <w:rPr>
          <w:rStyle w:val="Strong"/>
          <w:b w:val="0"/>
          <w:bCs/>
        </w:rPr>
        <w:t>OpenTopography</w:t>
      </w:r>
      <w:proofErr w:type="spellEnd"/>
      <w:r w:rsidRPr="00472FDB">
        <w:rPr>
          <w:rStyle w:val="Strong"/>
          <w:b w:val="0"/>
          <w:bCs/>
        </w:rPr>
        <w:t xml:space="preserve"> Facility is to:</w:t>
      </w:r>
    </w:p>
    <w:p w14:paraId="2A511CF9" w14:textId="77777777" w:rsidR="00472FDB" w:rsidRDefault="00472FDB" w:rsidP="00472FDB">
      <w:pPr>
        <w:numPr>
          <w:ilvl w:val="0"/>
          <w:numId w:val="12"/>
        </w:numPr>
        <w:spacing w:after="0"/>
      </w:pPr>
      <w:r>
        <w:t xml:space="preserve">Democratize online access to high-resolution (meter to sub-meter scale), Earth science-oriented, topography data acquired with </w:t>
      </w:r>
      <w:proofErr w:type="spellStart"/>
      <w:r>
        <w:t>lidar</w:t>
      </w:r>
      <w:proofErr w:type="spellEnd"/>
      <w:r>
        <w:t xml:space="preserve"> and other technologies.</w:t>
      </w:r>
    </w:p>
    <w:p w14:paraId="04D1449E" w14:textId="77777777" w:rsidR="00472FDB" w:rsidRDefault="00472FDB" w:rsidP="00472FDB">
      <w:pPr>
        <w:numPr>
          <w:ilvl w:val="0"/>
          <w:numId w:val="12"/>
        </w:numPr>
        <w:spacing w:before="100" w:beforeAutospacing="1" w:after="100" w:afterAutospacing="1"/>
      </w:pPr>
      <w:r>
        <w:t xml:space="preserve">Harness </w:t>
      </w:r>
      <w:proofErr w:type="gramStart"/>
      <w:r>
        <w:t>cutting edge</w:t>
      </w:r>
      <w:proofErr w:type="gramEnd"/>
      <w:r>
        <w:t xml:space="preserve"> cyberinfrastructure to provide Web service-based data access, processing, and analysis capabilities that are scalable, extensible, and innovative.</w:t>
      </w:r>
    </w:p>
    <w:p w14:paraId="6B4211CD" w14:textId="77777777" w:rsidR="00472FDB" w:rsidRDefault="00472FDB" w:rsidP="00472FDB">
      <w:pPr>
        <w:numPr>
          <w:ilvl w:val="0"/>
          <w:numId w:val="12"/>
        </w:numPr>
        <w:spacing w:before="100" w:beforeAutospacing="1" w:after="100" w:afterAutospacing="1"/>
      </w:pPr>
      <w:r>
        <w:t>Promote discovery of data and software tools through community populated metadata catalogs.</w:t>
      </w:r>
    </w:p>
    <w:p w14:paraId="60B1CC59" w14:textId="77777777" w:rsidR="00472FDB" w:rsidRDefault="00472FDB" w:rsidP="00472FDB">
      <w:pPr>
        <w:numPr>
          <w:ilvl w:val="0"/>
          <w:numId w:val="12"/>
        </w:numPr>
        <w:spacing w:before="100" w:beforeAutospacing="1" w:after="100" w:afterAutospacing="1"/>
      </w:pPr>
      <w:proofErr w:type="gramStart"/>
      <w:r>
        <w:t>Partner</w:t>
      </w:r>
      <w:proofErr w:type="gramEnd"/>
      <w:r>
        <w:t xml:space="preserve"> with public domain data holders to leverage </w:t>
      </w:r>
      <w:proofErr w:type="spellStart"/>
      <w:r>
        <w:t>OpenTopography</w:t>
      </w:r>
      <w:proofErr w:type="spellEnd"/>
      <w:r>
        <w:t xml:space="preserve"> infrastructure for data discovery, hosting and processing.</w:t>
      </w:r>
    </w:p>
    <w:p w14:paraId="1FF95B4F" w14:textId="77777777" w:rsidR="00472FDB" w:rsidRDefault="00472FDB" w:rsidP="00472FDB">
      <w:pPr>
        <w:numPr>
          <w:ilvl w:val="0"/>
          <w:numId w:val="12"/>
        </w:numPr>
        <w:spacing w:before="100" w:beforeAutospacing="1" w:after="100" w:afterAutospacing="1"/>
      </w:pPr>
      <w:r>
        <w:t>Provide professional training and expert guidance in data management, processing, and analysis.</w:t>
      </w:r>
    </w:p>
    <w:p w14:paraId="3C30AB88" w14:textId="77777777" w:rsidR="00472FDB" w:rsidRDefault="00472FDB" w:rsidP="00472FDB">
      <w:pPr>
        <w:numPr>
          <w:ilvl w:val="0"/>
          <w:numId w:val="12"/>
        </w:numPr>
        <w:spacing w:before="100" w:beforeAutospacing="1" w:after="100" w:afterAutospacing="1"/>
      </w:pPr>
      <w:r>
        <w:t xml:space="preserve">Foster interaction and knowledge exchange in the Earth science </w:t>
      </w:r>
      <w:proofErr w:type="spellStart"/>
      <w:r>
        <w:t>lidar</w:t>
      </w:r>
      <w:proofErr w:type="spellEnd"/>
      <w:r>
        <w:t xml:space="preserve"> user community.</w:t>
      </w:r>
    </w:p>
    <w:p w14:paraId="2A227ABA" w14:textId="77777777" w:rsidR="00472FDB" w:rsidRDefault="00472FDB" w:rsidP="00472FDB">
      <w:pPr>
        <w:pStyle w:val="NormalWeb"/>
      </w:pPr>
      <w:r>
        <w:rPr>
          <w:noProof/>
        </w:rPr>
        <w:drawing>
          <wp:inline distT="0" distB="0" distL="0" distR="0" wp14:anchorId="0D5F4B28" wp14:editId="5931A740">
            <wp:extent cx="3329940" cy="1518285"/>
            <wp:effectExtent l="0" t="0" r="3810" b="5715"/>
            <wp:docPr id="9" name="Picture 9" descr="https://cloud.sdsc.edu/v1/AUTH_opentopography/www/images/drupal/LiDAR_p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sdsc.edu/v1/AUTH_opentopography/www/images/drupal/LiDAR_pn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1518285"/>
                    </a:xfrm>
                    <a:prstGeom prst="rect">
                      <a:avLst/>
                    </a:prstGeom>
                    <a:noFill/>
                    <a:ln>
                      <a:noFill/>
                    </a:ln>
                  </pic:spPr>
                </pic:pic>
              </a:graphicData>
            </a:graphic>
          </wp:inline>
        </w:drawing>
      </w:r>
    </w:p>
    <w:p w14:paraId="32316556" w14:textId="209FB654" w:rsidR="00472FDB" w:rsidRDefault="00472FDB" w:rsidP="00472FDB">
      <w:pPr>
        <w:pStyle w:val="NormalWeb"/>
      </w:pPr>
      <w:r>
        <w:t xml:space="preserve">The </w:t>
      </w:r>
      <w:proofErr w:type="spellStart"/>
      <w:r>
        <w:t>OpenTopography</w:t>
      </w:r>
      <w:proofErr w:type="spellEnd"/>
      <w:r>
        <w:t xml:space="preserve"> Facility is based at the </w:t>
      </w:r>
      <w:hyperlink r:id="rId10" w:tgtFrame="_blank" w:tooltip="San Diego Supercomputer Center" w:history="1">
        <w:r>
          <w:rPr>
            <w:rStyle w:val="Hyperlink"/>
          </w:rPr>
          <w:t>San Diego Supercomputer Center</w:t>
        </w:r>
      </w:hyperlink>
      <w:r>
        <w:t xml:space="preserve"> at the </w:t>
      </w:r>
      <w:hyperlink r:id="rId11" w:tgtFrame="_blank" w:tooltip="University of California, San Diego" w:history="1">
        <w:r>
          <w:rPr>
            <w:rStyle w:val="Hyperlink"/>
          </w:rPr>
          <w:t>University of California, San Diego</w:t>
        </w:r>
      </w:hyperlink>
      <w:r>
        <w:t xml:space="preserve"> and is operated in collaboration with colleagues in the </w:t>
      </w:r>
      <w:hyperlink r:id="rId12" w:tgtFrame="_blank" w:tooltip="School of Earth and Space Exploration" w:history="1">
        <w:r>
          <w:rPr>
            <w:rStyle w:val="Hyperlink"/>
          </w:rPr>
          <w:t>School of Earth and Space Exploration</w:t>
        </w:r>
      </w:hyperlink>
      <w:r>
        <w:t xml:space="preserve"> at </w:t>
      </w:r>
      <w:hyperlink r:id="rId13" w:tgtFrame="_blank" w:tooltip="Arizona State University" w:history="1">
        <w:r>
          <w:rPr>
            <w:rStyle w:val="Hyperlink"/>
          </w:rPr>
          <w:t>Arizona State University</w:t>
        </w:r>
      </w:hyperlink>
      <w:r>
        <w:t xml:space="preserve"> and at </w:t>
      </w:r>
      <w:hyperlink r:id="rId14" w:tgtFrame="_blank" w:tooltip="UNAVCO" w:history="1">
        <w:r>
          <w:rPr>
            <w:rStyle w:val="Hyperlink"/>
          </w:rPr>
          <w:t>UNAVCO</w:t>
        </w:r>
      </w:hyperlink>
      <w:r>
        <w:t>.</w:t>
      </w:r>
    </w:p>
    <w:p w14:paraId="2C09616B" w14:textId="77777777" w:rsidR="00472FDB" w:rsidRDefault="00472FDB" w:rsidP="00472FDB">
      <w:pPr>
        <w:pStyle w:val="NormalWeb"/>
      </w:pPr>
      <w:r>
        <w:t xml:space="preserve">Core operational support for </w:t>
      </w:r>
      <w:proofErr w:type="spellStart"/>
      <w:r>
        <w:t>OpenTopography</w:t>
      </w:r>
      <w:proofErr w:type="spellEnd"/>
      <w:r>
        <w:t xml:space="preserve"> comes from the National Science Foundation Earth Sciences: </w:t>
      </w:r>
      <w:hyperlink r:id="rId15" w:tgtFrame="_blank" w:tooltip="EAR Instrumentation and Facilities Program" w:history="1">
        <w:r>
          <w:rPr>
            <w:rStyle w:val="Hyperlink"/>
          </w:rPr>
          <w:t>Instrumentation and Facilities Program (EAR/IF)</w:t>
        </w:r>
      </w:hyperlink>
      <w:r>
        <w:t xml:space="preserve">, </w:t>
      </w:r>
      <w:hyperlink r:id="rId16" w:tgtFrame="_blank" w:tooltip="Geoinformatics" w:history="1">
        <w:proofErr w:type="spellStart"/>
        <w:r>
          <w:rPr>
            <w:rStyle w:val="Hyperlink"/>
          </w:rPr>
          <w:t>Geoinformatics</w:t>
        </w:r>
        <w:proofErr w:type="spellEnd"/>
      </w:hyperlink>
      <w:r>
        <w:t xml:space="preserve"> and </w:t>
      </w:r>
      <w:hyperlink r:id="rId17" w:tgtFrame="_blank" w:tooltip="EarthCube" w:history="1">
        <w:proofErr w:type="spellStart"/>
        <w:r>
          <w:rPr>
            <w:rStyle w:val="Hyperlink"/>
          </w:rPr>
          <w:t>EarthCube</w:t>
        </w:r>
        <w:proofErr w:type="spellEnd"/>
      </w:hyperlink>
      <w:r>
        <w:t xml:space="preserve">. </w:t>
      </w:r>
      <w:proofErr w:type="spellStart"/>
      <w:r>
        <w:t>OpenTopography</w:t>
      </w:r>
      <w:proofErr w:type="spellEnd"/>
      <w:r>
        <w:t xml:space="preserve"> </w:t>
      </w:r>
      <w:proofErr w:type="gramStart"/>
      <w:r>
        <w:t>was initially developed</w:t>
      </w:r>
      <w:proofErr w:type="gramEnd"/>
      <w:r>
        <w:t xml:space="preserve"> as a proof of concept cyberinfrastructure in the Earth sciences project as part of the NSF Information and Technology Research (ITR) program-funded </w:t>
      </w:r>
      <w:hyperlink r:id="rId18" w:tgtFrame="_blank" w:history="1">
        <w:r>
          <w:rPr>
            <w:rStyle w:val="Hyperlink"/>
          </w:rPr>
          <w:t>Geoscience Network (GEON) project</w:t>
        </w:r>
      </w:hyperlink>
      <w:r>
        <w:t>.</w:t>
      </w:r>
    </w:p>
    <w:p w14:paraId="7EEB2327" w14:textId="77777777" w:rsidR="00472FDB" w:rsidRPr="00472FDB" w:rsidRDefault="00472FDB" w:rsidP="00472FDB">
      <w:pPr>
        <w:pStyle w:val="Heading2"/>
        <w:spacing w:after="0"/>
        <w:rPr>
          <w:b/>
        </w:rPr>
      </w:pPr>
      <w:r w:rsidRPr="00472FDB">
        <w:rPr>
          <w:rStyle w:val="Strong"/>
          <w:b w:val="0"/>
        </w:rPr>
        <w:t>Motivations and Philosophy:</w:t>
      </w:r>
    </w:p>
    <w:p w14:paraId="1DB094D8" w14:textId="601033EC" w:rsidR="00472FDB" w:rsidRDefault="00472FDB" w:rsidP="00472FDB">
      <w:pPr>
        <w:pStyle w:val="NormalWeb"/>
        <w:spacing w:before="0" w:beforeAutospacing="0" w:after="0" w:afterAutospacing="0"/>
      </w:pPr>
      <w:r>
        <w:t xml:space="preserve">Over the past decade, there has been dramatic growth in the acquisition of publicly funded high-resolution topographic and bathymetric data for scientific, environmental, engineering and planning purposes. Because of the richness of these data sets, they are often extremely valuable beyond the application that drove their acquisition and thus are of interest to a large and varied user community. </w:t>
      </w:r>
      <w:r>
        <w:lastRenderedPageBreak/>
        <w:t xml:space="preserve">However, because of the large volumes of data produced by high-resolution mapping technologies such as </w:t>
      </w:r>
      <w:proofErr w:type="spellStart"/>
      <w:r>
        <w:t>lidar</w:t>
      </w:r>
      <w:proofErr w:type="spellEnd"/>
      <w:r>
        <w:t xml:space="preserve">, it is often difficult to distribute these datasets. Furthermore, the data can be technically challenging to work with, requiring software and computing resources not readily available to many users. </w:t>
      </w:r>
      <w:proofErr w:type="spellStart"/>
      <w:r>
        <w:t>OpenTopography</w:t>
      </w:r>
      <w:proofErr w:type="spellEnd"/>
      <w:r>
        <w:t xml:space="preserve"> aims to democratize access to high-resolution topographic data in a manner that serves users with varied expertise, application domains, and computing resources.</w:t>
      </w:r>
    </w:p>
    <w:p w14:paraId="68A4BD00" w14:textId="77777777" w:rsidR="00472FDB" w:rsidRDefault="00472FDB" w:rsidP="00472FDB">
      <w:pPr>
        <w:pStyle w:val="NormalWeb"/>
        <w:spacing w:before="0" w:beforeAutospacing="0" w:after="0" w:afterAutospacing="0"/>
      </w:pPr>
    </w:p>
    <w:p w14:paraId="1A4AD7BF" w14:textId="77777777" w:rsidR="00472FDB" w:rsidRPr="00472FDB" w:rsidRDefault="00472FDB" w:rsidP="00472FDB">
      <w:pPr>
        <w:pStyle w:val="Heading2"/>
        <w:spacing w:after="0"/>
        <w:rPr>
          <w:b/>
        </w:rPr>
      </w:pPr>
      <w:proofErr w:type="spellStart"/>
      <w:r w:rsidRPr="00472FDB">
        <w:rPr>
          <w:rStyle w:val="Strong"/>
          <w:b w:val="0"/>
        </w:rPr>
        <w:t>OpenTopography</w:t>
      </w:r>
      <w:proofErr w:type="spellEnd"/>
      <w:r w:rsidRPr="00472FDB">
        <w:rPr>
          <w:rStyle w:val="Strong"/>
          <w:b w:val="0"/>
        </w:rPr>
        <w:t xml:space="preserve"> data access levels:</w:t>
      </w:r>
    </w:p>
    <w:p w14:paraId="4443737B" w14:textId="77777777" w:rsidR="00472FDB" w:rsidRDefault="00472FDB" w:rsidP="00472FDB">
      <w:pPr>
        <w:pStyle w:val="NormalWeb"/>
        <w:spacing w:before="0" w:beforeAutospacing="0" w:after="0" w:afterAutospacing="0"/>
      </w:pPr>
      <w:r>
        <w:rPr>
          <w:rStyle w:val="Emphasis"/>
        </w:rPr>
        <w:t>Google Earth</w:t>
      </w:r>
      <w:proofErr w:type="gramStart"/>
      <w:r>
        <w:rPr>
          <w:rStyle w:val="Emphasis"/>
        </w:rPr>
        <w:t>:</w:t>
      </w:r>
      <w:proofErr w:type="gramEnd"/>
      <w:r>
        <w:br/>
        <w:t xml:space="preserve">Google Earth provides an excellent platform to deliver </w:t>
      </w:r>
      <w:proofErr w:type="spellStart"/>
      <w:r>
        <w:t>lidar</w:t>
      </w:r>
      <w:proofErr w:type="spellEnd"/>
      <w:r>
        <w:t xml:space="preserve">-derived visualizations for research, education, and outreach purposes. These files display full-resolution images derived from </w:t>
      </w:r>
      <w:proofErr w:type="spellStart"/>
      <w:r>
        <w:t>lidar</w:t>
      </w:r>
      <w:proofErr w:type="spellEnd"/>
      <w:r>
        <w:t xml:space="preserve"> in the Google Earth virtual globe. The virtual globe environment provides a freely available and easily navigated viewer and enables quick integration of the </w:t>
      </w:r>
      <w:proofErr w:type="spellStart"/>
      <w:r>
        <w:t>lidar</w:t>
      </w:r>
      <w:proofErr w:type="spellEnd"/>
      <w:r>
        <w:t xml:space="preserve"> visualizations with imagery, geographic layers, and other relevant data available in KML format.</w:t>
      </w:r>
    </w:p>
    <w:p w14:paraId="6AB21F41" w14:textId="77777777" w:rsidR="00472FDB" w:rsidRDefault="00472FDB" w:rsidP="00472FDB">
      <w:pPr>
        <w:pStyle w:val="NormalWeb"/>
      </w:pPr>
      <w:r>
        <w:rPr>
          <w:rStyle w:val="Emphasis"/>
        </w:rPr>
        <w:t>Raster</w:t>
      </w:r>
      <w:proofErr w:type="gramStart"/>
      <w:r>
        <w:rPr>
          <w:rStyle w:val="Emphasis"/>
        </w:rPr>
        <w:t>:</w:t>
      </w:r>
      <w:proofErr w:type="gramEnd"/>
      <w:r>
        <w:br/>
        <w:t xml:space="preserve">Pre-computed raster data include digital elevation model (DEM) layers computed from aerial </w:t>
      </w:r>
      <w:proofErr w:type="spellStart"/>
      <w:r>
        <w:t>lidar</w:t>
      </w:r>
      <w:proofErr w:type="spellEnd"/>
      <w:r>
        <w:t xml:space="preserve"> surveys and raster data from the Satellite Radar Topography Mission (SRTM) global dataset. DEMs from aerial </w:t>
      </w:r>
      <w:proofErr w:type="spellStart"/>
      <w:r>
        <w:t>lidar</w:t>
      </w:r>
      <w:proofErr w:type="spellEnd"/>
      <w:r>
        <w:t xml:space="preserve"> surveys are available as bare earth (ground), highest hit (first or all return), or intensity (strength of laser pulse) tiles. Some datasets also have </w:t>
      </w:r>
      <w:proofErr w:type="spellStart"/>
      <w:r>
        <w:t>orthophtotographs</w:t>
      </w:r>
      <w:proofErr w:type="spellEnd"/>
      <w:r>
        <w:t xml:space="preserve"> available. The DEMs are in common GIS formats (e.g. ESRI Arc Binary) and are compressed (zipped) to reduce their size.</w:t>
      </w:r>
    </w:p>
    <w:p w14:paraId="4E65FE31" w14:textId="77777777" w:rsidR="00472FDB" w:rsidRDefault="00472FDB" w:rsidP="00472FDB">
      <w:pPr>
        <w:pStyle w:val="NormalWeb"/>
      </w:pPr>
      <w:r>
        <w:rPr>
          <w:rStyle w:val="Emphasis"/>
        </w:rPr>
        <w:t xml:space="preserve">Lidar point cloud data and on-demand processing: </w:t>
      </w:r>
      <w:r>
        <w:br/>
        <w:t xml:space="preserve">This aspect of </w:t>
      </w:r>
      <w:proofErr w:type="spellStart"/>
      <w:r>
        <w:t>OpenTopography</w:t>
      </w:r>
      <w:proofErr w:type="spellEnd"/>
      <w:r>
        <w:t xml:space="preserve"> allows users to define an area of interest, as well as subset of the data (e.g. “ground returns only"), and then to download the results of this query in ASCII or LAS binary point cloud formats. Also available is the option to generate custom derivative products such as digital elevation models (DEMs) produced with user-defined resolution and algorithm parameters, and downloaded in a number of different file formats. The system will also generate geomorphic metrics such as </w:t>
      </w:r>
      <w:proofErr w:type="spellStart"/>
      <w:r>
        <w:t>hillshade</w:t>
      </w:r>
      <w:proofErr w:type="spellEnd"/>
      <w:r>
        <w:t xml:space="preserve"> and slope maps, and will dynamically generate visualizations of the data products for display in the web browser or Google Earth.</w:t>
      </w:r>
    </w:p>
    <w:p w14:paraId="39D58820" w14:textId="77777777" w:rsidR="00472FDB" w:rsidRPr="00472FDB" w:rsidRDefault="00472FDB" w:rsidP="00472FDB">
      <w:pPr>
        <w:pStyle w:val="Heading2"/>
        <w:spacing w:after="0"/>
        <w:rPr>
          <w:b/>
        </w:rPr>
      </w:pPr>
      <w:r w:rsidRPr="00472FDB">
        <w:rPr>
          <w:rStyle w:val="Strong"/>
          <w:b w:val="0"/>
        </w:rPr>
        <w:t>Data:</w:t>
      </w:r>
    </w:p>
    <w:p w14:paraId="4FD403CC" w14:textId="77777777" w:rsidR="00472FDB" w:rsidRDefault="00472FDB" w:rsidP="00472FDB">
      <w:pPr>
        <w:pStyle w:val="NormalWeb"/>
        <w:spacing w:before="0" w:beforeAutospacing="0" w:after="0" w:afterAutospacing="0"/>
      </w:pPr>
      <w:r>
        <w:t xml:space="preserve">As an NSF-EAR-funded data facility, </w:t>
      </w:r>
      <w:proofErr w:type="spellStart"/>
      <w:r>
        <w:t>OpenTopography’s</w:t>
      </w:r>
      <w:proofErr w:type="spellEnd"/>
      <w:r>
        <w:t xml:space="preserve"> primary emphasis is on Earth science-related, research-grade, topography and bathymetry data. The scope of data that falls within this domain </w:t>
      </w:r>
      <w:proofErr w:type="gramStart"/>
      <w:r>
        <w:t>is not specifically defined</w:t>
      </w:r>
      <w:proofErr w:type="gramEnd"/>
      <w:r>
        <w:t xml:space="preserve">, and data priorities are dictated by feedback from the </w:t>
      </w:r>
      <w:proofErr w:type="spellStart"/>
      <w:r>
        <w:t>OpenTopography</w:t>
      </w:r>
      <w:proofErr w:type="spellEnd"/>
      <w:r>
        <w:t xml:space="preserve"> user community, as well as our </w:t>
      </w:r>
      <w:hyperlink r:id="rId19" w:history="1">
        <w:r>
          <w:rPr>
            <w:rStyle w:val="Hyperlink"/>
          </w:rPr>
          <w:t>Advisory Committee</w:t>
        </w:r>
      </w:hyperlink>
      <w:r>
        <w:t xml:space="preserve">. For those data that </w:t>
      </w:r>
      <w:proofErr w:type="spellStart"/>
      <w:r>
        <w:t>OpenTopography</w:t>
      </w:r>
      <w:proofErr w:type="spellEnd"/>
      <w:r>
        <w:t xml:space="preserve"> does not have the resources to host, we encourage registration of these in our data catalog so that they are discoverable by the community.</w:t>
      </w:r>
    </w:p>
    <w:p w14:paraId="0F4B1EDA" w14:textId="6CE91C71" w:rsidR="002122C2" w:rsidRDefault="002122C2" w:rsidP="002122C2">
      <w:pPr>
        <w:pStyle w:val="Authortext"/>
      </w:pPr>
    </w:p>
    <w:p w14:paraId="45F516D5" w14:textId="4DC57855" w:rsidR="00472FDB" w:rsidRDefault="00472FDB" w:rsidP="002122C2">
      <w:pPr>
        <w:pStyle w:val="Authortext"/>
      </w:pPr>
    </w:p>
    <w:p w14:paraId="2BA6352A" w14:textId="1C3C77D2" w:rsidR="00472FDB" w:rsidRDefault="00472FDB" w:rsidP="002122C2">
      <w:pPr>
        <w:pStyle w:val="Authortext"/>
      </w:pPr>
    </w:p>
    <w:p w14:paraId="56CD64AA" w14:textId="3E14F938" w:rsidR="00472FDB" w:rsidRDefault="00472FDB" w:rsidP="002122C2">
      <w:pPr>
        <w:pStyle w:val="Authortext"/>
      </w:pPr>
    </w:p>
    <w:p w14:paraId="3B9AC762" w14:textId="0D5FA4B1" w:rsidR="00472FDB" w:rsidRDefault="00472FDB" w:rsidP="002122C2">
      <w:pPr>
        <w:pStyle w:val="Authortext"/>
      </w:pPr>
    </w:p>
    <w:p w14:paraId="59ADA68E" w14:textId="17DC87ED" w:rsidR="00144AB0" w:rsidRDefault="00472FDB" w:rsidP="000D2F83">
      <w:pPr>
        <w:pStyle w:val="Heading1"/>
      </w:pPr>
      <w:r>
        <w:lastRenderedPageBreak/>
        <w:t>Workflow</w:t>
      </w:r>
      <w:r w:rsidR="000F2062">
        <w:t xml:space="preserve"> 1 (Data Download and Viewing)</w:t>
      </w:r>
    </w:p>
    <w:p w14:paraId="717EFD0A" w14:textId="5171FED5" w:rsidR="003755FD" w:rsidRDefault="00340E37" w:rsidP="00472FDB">
      <w:pPr>
        <w:pStyle w:val="Heading2"/>
      </w:pPr>
      <w:r>
        <w:t>Part 1: Downloading data from OT</w:t>
      </w:r>
    </w:p>
    <w:p w14:paraId="0EB2932B" w14:textId="5323BDBA" w:rsidR="00472FDB" w:rsidRDefault="00340E37" w:rsidP="003755FD">
      <w:r>
        <w:t xml:space="preserve">Watch the video about downloading data from OT: </w:t>
      </w:r>
    </w:p>
    <w:p w14:paraId="2C2B23A6" w14:textId="64D73FA6" w:rsidR="00340E37" w:rsidRDefault="00984DD9" w:rsidP="003755FD">
      <w:hyperlink r:id="rId20" w:history="1">
        <w:r w:rsidR="00340E37" w:rsidRPr="00D21372">
          <w:rPr>
            <w:rStyle w:val="Hyperlink"/>
          </w:rPr>
          <w:t>https://youtu.be/Wt8Png9ogSk</w:t>
        </w:r>
      </w:hyperlink>
      <w:r w:rsidR="00340E37">
        <w:t xml:space="preserve"> </w:t>
      </w:r>
    </w:p>
    <w:p w14:paraId="228470C9" w14:textId="112A5F94" w:rsidR="00340E37" w:rsidRDefault="00340E37" w:rsidP="003755FD">
      <w:r>
        <w:t xml:space="preserve">A more specific workflow for getting high-resolution topography </w:t>
      </w:r>
      <w:proofErr w:type="gramStart"/>
      <w:r>
        <w:t>is shown</w:t>
      </w:r>
      <w:proofErr w:type="gramEnd"/>
      <w:r>
        <w:t xml:space="preserve"> here: </w:t>
      </w:r>
    </w:p>
    <w:p w14:paraId="21A16033" w14:textId="56CEC2DC" w:rsidR="00340E37" w:rsidRDefault="00984DD9" w:rsidP="003755FD">
      <w:hyperlink r:id="rId21" w:history="1">
        <w:r w:rsidR="00340E37" w:rsidRPr="00D21372">
          <w:rPr>
            <w:rStyle w:val="Hyperlink"/>
          </w:rPr>
          <w:t>https://youtu.be/jsWiVuN_zCo</w:t>
        </w:r>
      </w:hyperlink>
      <w:r w:rsidR="00340E37">
        <w:t xml:space="preserve"> </w:t>
      </w:r>
    </w:p>
    <w:p w14:paraId="20F3C68B" w14:textId="61A5D717" w:rsidR="00340E37" w:rsidRDefault="00340E37" w:rsidP="003755FD"/>
    <w:p w14:paraId="32397369" w14:textId="720291A1" w:rsidR="00340E37" w:rsidRDefault="00340E37" w:rsidP="003755FD">
      <w:r>
        <w:t xml:space="preserve">Go to the Data Catalog </w:t>
      </w:r>
      <w:hyperlink r:id="rId22" w:history="1">
        <w:r w:rsidRPr="00D21372">
          <w:rPr>
            <w:rStyle w:val="Hyperlink"/>
          </w:rPr>
          <w:t>https://portal.opentopography.org/datasets</w:t>
        </w:r>
      </w:hyperlink>
      <w:r>
        <w:t xml:space="preserve"> and find the Santa Maria dataset </w:t>
      </w:r>
    </w:p>
    <w:p w14:paraId="6799CE4A" w14:textId="69F3A97F" w:rsidR="00340E37" w:rsidRDefault="00984DD9" w:rsidP="003755FD">
      <w:hyperlink r:id="rId23" w:history="1">
        <w:r w:rsidR="00340E37" w:rsidRPr="00D21372">
          <w:rPr>
            <w:rStyle w:val="Hyperlink"/>
          </w:rPr>
          <w:t>https://doi.org/10.5069/G9QR4V2S</w:t>
        </w:r>
      </w:hyperlink>
      <w:r w:rsidR="00340E37">
        <w:t xml:space="preserve"> awarded to Dr. B through an NCALM seed grant for her PhD research and</w:t>
      </w:r>
      <w:r w:rsidR="00700647">
        <w:t xml:space="preserve"> stored in OT. Click on the “Point Cloud Data” download. </w:t>
      </w:r>
    </w:p>
    <w:p w14:paraId="153E019B" w14:textId="70F8118B" w:rsidR="00700647" w:rsidRDefault="00700647" w:rsidP="003755FD">
      <w:r>
        <w:rPr>
          <w:noProof/>
        </w:rPr>
        <w:drawing>
          <wp:inline distT="0" distB="0" distL="0" distR="0" wp14:anchorId="4FF601E7" wp14:editId="3697D49B">
            <wp:extent cx="6400800" cy="1969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1969135"/>
                    </a:xfrm>
                    <a:prstGeom prst="rect">
                      <a:avLst/>
                    </a:prstGeom>
                  </pic:spPr>
                </pic:pic>
              </a:graphicData>
            </a:graphic>
          </wp:inline>
        </w:drawing>
      </w:r>
    </w:p>
    <w:p w14:paraId="032C35AA" w14:textId="77777777" w:rsidR="00700647" w:rsidRDefault="00700647" w:rsidP="003755FD"/>
    <w:p w14:paraId="77C5E945" w14:textId="0A1122D0" w:rsidR="00700647" w:rsidRDefault="00700647" w:rsidP="003755FD">
      <w:r>
        <w:t xml:space="preserve">Zoom in to the covered area and select a region to download. Make sure your area is </w:t>
      </w:r>
      <w:proofErr w:type="gramStart"/>
      <w:r>
        <w:t>pretty small</w:t>
      </w:r>
      <w:proofErr w:type="gramEnd"/>
      <w:r>
        <w:t>, so you don’t crash your computer!</w:t>
      </w:r>
    </w:p>
    <w:p w14:paraId="48B74CEC" w14:textId="742DB39C" w:rsidR="00700647" w:rsidRDefault="00700647" w:rsidP="003755FD">
      <w:r>
        <w:t>In the download parameters, choose the following:</w:t>
      </w:r>
    </w:p>
    <w:p w14:paraId="1850699A" w14:textId="16536838" w:rsidR="00700647" w:rsidRDefault="00700647" w:rsidP="003755FD">
      <w:r>
        <w:t>1. Check “Ground”</w:t>
      </w:r>
    </w:p>
    <w:p w14:paraId="18D1E42B" w14:textId="51E75781" w:rsidR="00700647" w:rsidRDefault="00700647" w:rsidP="003755FD">
      <w:r>
        <w:t xml:space="preserve">2. Point Cloud Data Download in ASCII format (a text file) </w:t>
      </w:r>
    </w:p>
    <w:p w14:paraId="3314E294" w14:textId="31D3A6AA" w:rsidR="00700647" w:rsidRDefault="00700647" w:rsidP="003755FD">
      <w:r>
        <w:t xml:space="preserve">3. DEM Generation, check “Calculate TIN” and choose a grid resolution of 1 m. For grid format, use </w:t>
      </w:r>
      <w:proofErr w:type="spellStart"/>
      <w:r>
        <w:t>GeoTIFF</w:t>
      </w:r>
      <w:proofErr w:type="spellEnd"/>
      <w:r>
        <w:t xml:space="preserve">. </w:t>
      </w:r>
    </w:p>
    <w:p w14:paraId="1FAD977C" w14:textId="21FF7049" w:rsidR="00700647" w:rsidRDefault="00700647" w:rsidP="003755FD">
      <w:r>
        <w:t xml:space="preserve">4. Derivative </w:t>
      </w:r>
      <w:proofErr w:type="gramStart"/>
      <w:r>
        <w:t>products,</w:t>
      </w:r>
      <w:proofErr w:type="gramEnd"/>
      <w:r>
        <w:t xml:space="preserve"> check “Generate 3D point cloud browser visualization” and check “Generate </w:t>
      </w:r>
      <w:proofErr w:type="spellStart"/>
      <w:r>
        <w:t>hillshade</w:t>
      </w:r>
      <w:proofErr w:type="spellEnd"/>
      <w:r>
        <w:t xml:space="preserve"> images from DEMS” and “Generate additional Google Earth KMZ files.” </w:t>
      </w:r>
    </w:p>
    <w:p w14:paraId="5F836E12" w14:textId="3ED4A98F" w:rsidR="00700647" w:rsidRDefault="00700647" w:rsidP="003755FD">
      <w:r>
        <w:t xml:space="preserve">Enter the job description parameters and wait for the email with the data.  </w:t>
      </w:r>
    </w:p>
    <w:p w14:paraId="40D6246D" w14:textId="0CB84D77" w:rsidR="00340E37" w:rsidRDefault="00E779E1" w:rsidP="003755FD">
      <w:r>
        <w:rPr>
          <w:noProof/>
        </w:rPr>
        <w:lastRenderedPageBreak/>
        <w:drawing>
          <wp:inline distT="0" distB="0" distL="0" distR="0" wp14:anchorId="1580950A" wp14:editId="19A71F2C">
            <wp:extent cx="6400800" cy="655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6559550"/>
                    </a:xfrm>
                    <a:prstGeom prst="rect">
                      <a:avLst/>
                    </a:prstGeom>
                  </pic:spPr>
                </pic:pic>
              </a:graphicData>
            </a:graphic>
          </wp:inline>
        </w:drawing>
      </w:r>
    </w:p>
    <w:p w14:paraId="14A22D57" w14:textId="21AB80C6" w:rsidR="00E779E1" w:rsidRPr="0045449F" w:rsidRDefault="0045449F" w:rsidP="00340E37">
      <w:pPr>
        <w:pStyle w:val="Heading2"/>
        <w:rPr>
          <w:i w:val="0"/>
          <w:sz w:val="20"/>
          <w:szCs w:val="20"/>
          <w:u w:val="none"/>
        </w:rPr>
      </w:pPr>
      <w:r w:rsidRPr="0045449F">
        <w:rPr>
          <w:i w:val="0"/>
          <w:sz w:val="20"/>
          <w:szCs w:val="20"/>
          <w:u w:val="none"/>
        </w:rPr>
        <w:t>Example</w:t>
      </w:r>
      <w:r>
        <w:rPr>
          <w:i w:val="0"/>
          <w:sz w:val="20"/>
          <w:szCs w:val="20"/>
          <w:u w:val="none"/>
        </w:rPr>
        <w:t xml:space="preserve"> data download. </w:t>
      </w:r>
    </w:p>
    <w:p w14:paraId="1EE2ECBD" w14:textId="77777777" w:rsidR="00E779E1" w:rsidRDefault="00E779E1" w:rsidP="00340E37">
      <w:pPr>
        <w:pStyle w:val="Heading2"/>
      </w:pPr>
    </w:p>
    <w:p w14:paraId="310BD4EB" w14:textId="7261E43C" w:rsidR="00E779E1" w:rsidRDefault="0045449F" w:rsidP="00340E37">
      <w:pPr>
        <w:pStyle w:val="Heading2"/>
      </w:pPr>
      <w:r>
        <w:t xml:space="preserve">Part 2: View your </w:t>
      </w:r>
      <w:proofErr w:type="spellStart"/>
      <w:r>
        <w:t>lidar</w:t>
      </w:r>
      <w:proofErr w:type="spellEnd"/>
      <w:r>
        <w:t xml:space="preserve"> with the browser tool</w:t>
      </w:r>
    </w:p>
    <w:p w14:paraId="6A53DF37" w14:textId="4AF47681" w:rsidR="0045449F" w:rsidRDefault="0045449F" w:rsidP="0045449F">
      <w:r>
        <w:rPr>
          <w:noProof/>
        </w:rPr>
        <w:drawing>
          <wp:inline distT="0" distB="0" distL="0" distR="0" wp14:anchorId="03B9C370" wp14:editId="088B42D5">
            <wp:extent cx="4181475" cy="361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81475" cy="361950"/>
                    </a:xfrm>
                    <a:prstGeom prst="rect">
                      <a:avLst/>
                    </a:prstGeom>
                  </pic:spPr>
                </pic:pic>
              </a:graphicData>
            </a:graphic>
          </wp:inline>
        </w:drawing>
      </w:r>
    </w:p>
    <w:p w14:paraId="1F731D30" w14:textId="6D3F1B7E" w:rsidR="0045449F" w:rsidRPr="0045449F" w:rsidRDefault="0045449F" w:rsidP="0045449F">
      <w:r>
        <w:t>Include a screenshot/snip of your output (5 pts).</w:t>
      </w:r>
    </w:p>
    <w:p w14:paraId="44945ECA" w14:textId="77777777" w:rsidR="0045449F" w:rsidRPr="0045449F" w:rsidRDefault="0045449F" w:rsidP="0045449F"/>
    <w:p w14:paraId="4EA61FE4" w14:textId="4E9EA461" w:rsidR="00340E37" w:rsidRDefault="00340E37" w:rsidP="00340E37">
      <w:pPr>
        <w:pStyle w:val="Heading2"/>
      </w:pPr>
      <w:r>
        <w:lastRenderedPageBreak/>
        <w:t xml:space="preserve">Part </w:t>
      </w:r>
      <w:r w:rsidR="0045449F">
        <w:t>3</w:t>
      </w:r>
      <w:r>
        <w:t>: Viewing your LiDAR in Google Earth</w:t>
      </w:r>
    </w:p>
    <w:p w14:paraId="3CD6F783" w14:textId="77777777" w:rsidR="00340E37" w:rsidRDefault="00340E37" w:rsidP="00340E37">
      <w:r>
        <w:t xml:space="preserve">This video shows how to export data into Google Earth for viewing. </w:t>
      </w:r>
    </w:p>
    <w:p w14:paraId="1DE242CB" w14:textId="77777777" w:rsidR="00340E37" w:rsidRDefault="00984DD9" w:rsidP="00340E37">
      <w:hyperlink r:id="rId27" w:history="1">
        <w:r w:rsidR="00340E37" w:rsidRPr="00D21372">
          <w:rPr>
            <w:rStyle w:val="Hyperlink"/>
          </w:rPr>
          <w:t>https://youtu.be/A0s3l_wxdHA</w:t>
        </w:r>
      </w:hyperlink>
      <w:r w:rsidR="00340E37">
        <w:t xml:space="preserve"> </w:t>
      </w:r>
    </w:p>
    <w:p w14:paraId="0C29364C" w14:textId="4148AB7B" w:rsidR="00340E37" w:rsidRDefault="00700647" w:rsidP="00340E37">
      <w:r>
        <w:t xml:space="preserve">View your </w:t>
      </w:r>
      <w:proofErr w:type="spellStart"/>
      <w:r>
        <w:t>hillshade</w:t>
      </w:r>
      <w:proofErr w:type="spellEnd"/>
      <w:r>
        <w:t xml:space="preserve"> KMZ in </w:t>
      </w:r>
      <w:proofErr w:type="spellStart"/>
      <w:r>
        <w:t>GoogleEarth</w:t>
      </w:r>
      <w:proofErr w:type="spellEnd"/>
      <w:r>
        <w:t>. Export a map image to turn in (</w:t>
      </w:r>
      <w:proofErr w:type="gramStart"/>
      <w:r>
        <w:t>5</w:t>
      </w:r>
      <w:proofErr w:type="gramEnd"/>
      <w:r>
        <w:t xml:space="preserve"> pts). </w:t>
      </w:r>
    </w:p>
    <w:p w14:paraId="1BE773D0" w14:textId="77777777" w:rsidR="0045449F" w:rsidRDefault="0045449F" w:rsidP="00340E37"/>
    <w:p w14:paraId="05F44644" w14:textId="1C40B62B" w:rsidR="00700647" w:rsidRDefault="00700647" w:rsidP="00700647">
      <w:pPr>
        <w:pStyle w:val="Heading2"/>
      </w:pPr>
      <w:r>
        <w:t xml:space="preserve">Part </w:t>
      </w:r>
      <w:r w:rsidR="0045449F">
        <w:t>4</w:t>
      </w:r>
      <w:r>
        <w:t>: Viewing your LiDAR in ArcGIS</w:t>
      </w:r>
    </w:p>
    <w:p w14:paraId="5AD7520E" w14:textId="0C931D24" w:rsidR="0045449F" w:rsidRDefault="0045449F" w:rsidP="00340E37">
      <w:pPr>
        <w:rPr>
          <w:noProof/>
        </w:rPr>
      </w:pPr>
      <w:r>
        <w:t xml:space="preserve">Download your DEM and Derivative Products Note: we </w:t>
      </w:r>
      <w:proofErr w:type="gramStart"/>
      <w:r>
        <w:t>won’t</w:t>
      </w:r>
      <w:proofErr w:type="gramEnd"/>
      <w:r>
        <w:t xml:space="preserve"> use the ASCII file, but other applications you might want it. The files will be .tar.gz files. You will have to extract them with a tool such as 7-zip. Right click &gt;&gt; 7-zip &gt;&gt; extract files. You will then have to open the .tar folder and extract one more time. Eventually you should have a folder with the .</w:t>
      </w:r>
      <w:proofErr w:type="spellStart"/>
      <w:r>
        <w:t>tif</w:t>
      </w:r>
      <w:proofErr w:type="spellEnd"/>
      <w:r>
        <w:t xml:space="preserve"> file with a path similar to this:</w:t>
      </w:r>
      <w:r w:rsidRPr="0045449F">
        <w:t xml:space="preserve"> output.tin.tar\</w:t>
      </w:r>
      <w:proofErr w:type="spellStart"/>
      <w:r w:rsidRPr="0045449F">
        <w:t>output.tin</w:t>
      </w:r>
      <w:proofErr w:type="spellEnd"/>
      <w:r>
        <w:t>.</w:t>
      </w:r>
      <w:r w:rsidRPr="0045449F">
        <w:rPr>
          <w:noProof/>
        </w:rPr>
        <w:t xml:space="preserve"> </w:t>
      </w:r>
    </w:p>
    <w:p w14:paraId="661BD4D4" w14:textId="1582ED53" w:rsidR="0045449F" w:rsidRDefault="0045449F" w:rsidP="00340E37">
      <w:r>
        <w:rPr>
          <w:noProof/>
        </w:rPr>
        <w:drawing>
          <wp:inline distT="0" distB="0" distL="0" distR="0" wp14:anchorId="1CD8FE2D" wp14:editId="4B9BBBB8">
            <wp:extent cx="4324350" cy="1285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24350" cy="1285875"/>
                    </a:xfrm>
                    <a:prstGeom prst="rect">
                      <a:avLst/>
                    </a:prstGeom>
                  </pic:spPr>
                </pic:pic>
              </a:graphicData>
            </a:graphic>
          </wp:inline>
        </w:drawing>
      </w:r>
    </w:p>
    <w:p w14:paraId="1442B9B5" w14:textId="79456ED3" w:rsidR="00700647" w:rsidRDefault="0045449F" w:rsidP="00340E37">
      <w:r>
        <w:t>A</w:t>
      </w:r>
      <w:r w:rsidR="00700647">
        <w:t xml:space="preserve">dd your </w:t>
      </w:r>
      <w:proofErr w:type="spellStart"/>
      <w:r w:rsidR="00700647">
        <w:t>GeoTIFFs</w:t>
      </w:r>
      <w:proofErr w:type="spellEnd"/>
      <w:r w:rsidR="00700647">
        <w:t xml:space="preserve"> (DEM and </w:t>
      </w:r>
      <w:proofErr w:type="spellStart"/>
      <w:r w:rsidR="00700647">
        <w:t>hillshade</w:t>
      </w:r>
      <w:proofErr w:type="spellEnd"/>
      <w:r w:rsidR="00700647">
        <w:t xml:space="preserve">) to ArcGIS and make at least two maps (with title, legend, scale bar, north arrow), for example a DEM and a </w:t>
      </w:r>
      <w:proofErr w:type="spellStart"/>
      <w:r w:rsidR="00700647">
        <w:t>hillshade</w:t>
      </w:r>
      <w:proofErr w:type="spellEnd"/>
      <w:r w:rsidR="00700647">
        <w:t xml:space="preserve">, of DEM overlaid onto </w:t>
      </w:r>
      <w:proofErr w:type="spellStart"/>
      <w:r w:rsidR="00700647">
        <w:t>hillshade</w:t>
      </w:r>
      <w:proofErr w:type="spellEnd"/>
      <w:r w:rsidR="00700647">
        <w:t xml:space="preserve">, etc. (5 pts each; 10 pts total). </w:t>
      </w:r>
    </w:p>
    <w:p w14:paraId="77B985A4" w14:textId="77777777" w:rsidR="000F2062" w:rsidRDefault="000F2062" w:rsidP="00340E37"/>
    <w:p w14:paraId="67A8C6EA" w14:textId="77777777" w:rsidR="000F2062" w:rsidRDefault="000F2062" w:rsidP="000F2062">
      <w:pPr>
        <w:pStyle w:val="Heading1"/>
      </w:pPr>
      <w:r>
        <w:t>Deliverables</w:t>
      </w:r>
    </w:p>
    <w:p w14:paraId="50E3F41F" w14:textId="3B5270E9" w:rsidR="000F2062" w:rsidRDefault="000F2062" w:rsidP="000F2062">
      <w:r>
        <w:t>All indicated maps from Workflow 1 and the answers to the following questions (5 pts)</w:t>
      </w:r>
    </w:p>
    <w:p w14:paraId="5B895784" w14:textId="071751EC" w:rsidR="000F2062" w:rsidRDefault="000F2062" w:rsidP="000F2062">
      <w:pPr>
        <w:pStyle w:val="ListParagraph"/>
        <w:numPr>
          <w:ilvl w:val="0"/>
          <w:numId w:val="13"/>
        </w:numPr>
      </w:pPr>
      <w:r>
        <w:t xml:space="preserve">What were some of the advantages and disadvantages of using </w:t>
      </w:r>
      <w:proofErr w:type="spellStart"/>
      <w:r>
        <w:t>OpenTopography</w:t>
      </w:r>
      <w:proofErr w:type="spellEnd"/>
      <w:r>
        <w:t xml:space="preserve"> data compared to conducting our </w:t>
      </w:r>
      <w:proofErr w:type="spellStart"/>
      <w:r>
        <w:t>SfM</w:t>
      </w:r>
      <w:proofErr w:type="spellEnd"/>
      <w:r>
        <w:t xml:space="preserve"> and TLS workflows? (2 pts)</w:t>
      </w:r>
    </w:p>
    <w:p w14:paraId="021FBDE2" w14:textId="39788D94" w:rsidR="000F2062" w:rsidRDefault="000F2062" w:rsidP="000F2062">
      <w:pPr>
        <w:pStyle w:val="ListParagraph"/>
        <w:numPr>
          <w:ilvl w:val="0"/>
          <w:numId w:val="13"/>
        </w:numPr>
      </w:pPr>
      <w:r>
        <w:t xml:space="preserve">When would using ALSM be advantageous over </w:t>
      </w:r>
      <w:proofErr w:type="spellStart"/>
      <w:r>
        <w:t>SfM</w:t>
      </w:r>
      <w:proofErr w:type="spellEnd"/>
      <w:r>
        <w:t xml:space="preserve"> and TLS workflows? (2 pts)</w:t>
      </w:r>
    </w:p>
    <w:p w14:paraId="01359F3E" w14:textId="665E77C2" w:rsidR="000F2062" w:rsidRDefault="000F2062" w:rsidP="000F2062">
      <w:pPr>
        <w:pStyle w:val="ListParagraph"/>
        <w:numPr>
          <w:ilvl w:val="0"/>
          <w:numId w:val="13"/>
        </w:numPr>
      </w:pPr>
      <w:r>
        <w:t>In viewing the data in the browser, Google Earth, and ArcGIS, what were your impressions of the utility of each? (2 pts)</w:t>
      </w:r>
    </w:p>
    <w:p w14:paraId="3D090FCC" w14:textId="33FA3224" w:rsidR="000F2062" w:rsidRDefault="000F2062" w:rsidP="000F2062"/>
    <w:p w14:paraId="5476202B" w14:textId="522068C9" w:rsidR="000F2062" w:rsidRDefault="000F2062" w:rsidP="000F2062"/>
    <w:p w14:paraId="4060B5B2" w14:textId="1EB16D8B" w:rsidR="000F2062" w:rsidRDefault="000F2062" w:rsidP="000F2062"/>
    <w:p w14:paraId="17C42279" w14:textId="20153FC5" w:rsidR="000F2062" w:rsidRDefault="000F2062" w:rsidP="000F2062"/>
    <w:p w14:paraId="6A3C2016" w14:textId="6C7B199B" w:rsidR="000F2062" w:rsidRDefault="000F2062" w:rsidP="000F2062"/>
    <w:p w14:paraId="499252E2" w14:textId="5BD5B4F7" w:rsidR="000F2062" w:rsidRDefault="000F2062" w:rsidP="000F2062"/>
    <w:p w14:paraId="308C4611" w14:textId="6A8F8F8E" w:rsidR="000F2062" w:rsidRDefault="000F2062" w:rsidP="000F2062"/>
    <w:p w14:paraId="271D4BE5" w14:textId="3FD45EB0" w:rsidR="0012558B" w:rsidRDefault="0012558B" w:rsidP="0012558B"/>
    <w:p w14:paraId="29F5629D" w14:textId="77777777" w:rsidR="0012558B" w:rsidRDefault="0012558B" w:rsidP="0012558B">
      <w:pPr>
        <w:pStyle w:val="Heading1"/>
      </w:pPr>
      <w:r>
        <w:lastRenderedPageBreak/>
        <w:t>Workflow 2 (Geomorphic Change Detection)</w:t>
      </w:r>
    </w:p>
    <w:p w14:paraId="45D4F362" w14:textId="77777777" w:rsidR="0012558B" w:rsidRPr="000F2062" w:rsidRDefault="0012558B" w:rsidP="0012558B">
      <w:pPr>
        <w:pStyle w:val="NormalWeb"/>
        <w:rPr>
          <w:i/>
        </w:rPr>
      </w:pPr>
      <w:r w:rsidRPr="000F2062">
        <w:rPr>
          <w:i/>
        </w:rPr>
        <w:t>OT allows for geomorphic change detection, which they call Topographic Differencing</w:t>
      </w:r>
    </w:p>
    <w:p w14:paraId="1589C1FB" w14:textId="77777777" w:rsidR="0012558B" w:rsidRDefault="00984DD9" w:rsidP="0012558B">
      <w:pPr>
        <w:pStyle w:val="NormalWeb"/>
      </w:pPr>
      <w:hyperlink r:id="rId29" w:history="1">
        <w:r w:rsidR="0012558B" w:rsidRPr="00D21372">
          <w:rPr>
            <w:rStyle w:val="Hyperlink"/>
          </w:rPr>
          <w:t>https://opentopography.org/learn/differencing</w:t>
        </w:r>
      </w:hyperlink>
    </w:p>
    <w:p w14:paraId="60E389AE" w14:textId="77777777" w:rsidR="0012558B" w:rsidRDefault="0012558B" w:rsidP="0012558B">
      <w:pPr>
        <w:pStyle w:val="NormalWeb"/>
      </w:pPr>
      <w:r>
        <w:t xml:space="preserve">As part of </w:t>
      </w:r>
      <w:proofErr w:type="spellStart"/>
      <w:r>
        <w:t>OpenTopography's</w:t>
      </w:r>
      <w:proofErr w:type="spellEnd"/>
      <w:r>
        <w:t xml:space="preserve"> digital training resources, this page lists the material that we have developed about topographic differencing. The resources include several video tutorials, blog posts with examples of differencing results processed on </w:t>
      </w:r>
      <w:proofErr w:type="spellStart"/>
      <w:r>
        <w:t>OpenTopography</w:t>
      </w:r>
      <w:proofErr w:type="spellEnd"/>
      <w:r>
        <w:t>, material presented at workshops, links to GitHub code repositories, and a differencing exercise designed for undergraduate courses.</w:t>
      </w:r>
    </w:p>
    <w:p w14:paraId="1425CDB4" w14:textId="77777777" w:rsidR="0012558B" w:rsidRDefault="0012558B" w:rsidP="0012558B">
      <w:pPr>
        <w:pStyle w:val="NormalWeb"/>
      </w:pPr>
      <w:r>
        <w:t>Topographic differencing reveals surface change from a variety of tectonic, geomorphic, and anthropogenic processes including earthquakes, volcanic eruptions, river erosion, landslides, sand dune migration, and urban development. Differencing techniques have grown in popularity over the past decade as the number of multi-temporal topographic datasets has increased.</w:t>
      </w:r>
    </w:p>
    <w:p w14:paraId="09511EAD" w14:textId="77777777" w:rsidR="0012558B" w:rsidRDefault="0012558B" w:rsidP="0012558B">
      <w:pPr>
        <w:pStyle w:val="NormalWeb"/>
      </w:pPr>
      <w:r>
        <w:t xml:space="preserve">Vertical differencing is the subtraction of gridded elevation data (a.k.a. raster or digital elevation models (DEMs)) that span an event of interest. Early application of this method focused on rivers, although the technique </w:t>
      </w:r>
      <w:proofErr w:type="gramStart"/>
      <w:r>
        <w:t>has since been applied</w:t>
      </w:r>
      <w:proofErr w:type="gramEnd"/>
      <w:r>
        <w:t xml:space="preserve"> to a broader case set. 3D differencing </w:t>
      </w:r>
      <w:proofErr w:type="gramStart"/>
      <w:r>
        <w:t>is calculated</w:t>
      </w:r>
      <w:proofErr w:type="gramEnd"/>
      <w:r>
        <w:t xml:space="preserve"> with a windowed implementation of the Iterative Closest Point (ICP) algorithm. This approach works best when the landscape shifts laterally, for example in surface rupturing earthquakes.</w:t>
      </w:r>
    </w:p>
    <w:p w14:paraId="081293BD" w14:textId="77777777" w:rsidR="0012558B" w:rsidRDefault="0012558B" w:rsidP="0012558B"/>
    <w:p w14:paraId="4BBA78AD" w14:textId="529F4468" w:rsidR="0012558B" w:rsidRDefault="0012558B" w:rsidP="0012558B">
      <w:pPr>
        <w:pStyle w:val="Heading2"/>
      </w:pPr>
      <w:r>
        <w:t>Step 1</w:t>
      </w:r>
    </w:p>
    <w:p w14:paraId="4BB45578" w14:textId="77777777" w:rsidR="0012558B" w:rsidRDefault="0012558B" w:rsidP="0012558B">
      <w:r>
        <w:t>Watch video about how to perform change detection within OT:</w:t>
      </w:r>
    </w:p>
    <w:p w14:paraId="603FC784" w14:textId="77777777" w:rsidR="0012558B" w:rsidRDefault="00984DD9" w:rsidP="0012558B">
      <w:hyperlink r:id="rId30" w:history="1">
        <w:r w:rsidR="0012558B" w:rsidRPr="00D21372">
          <w:rPr>
            <w:rStyle w:val="Hyperlink"/>
          </w:rPr>
          <w:t>https://youtu.be/BlDx66AQ3G0</w:t>
        </w:r>
      </w:hyperlink>
      <w:r w:rsidR="0012558B">
        <w:t xml:space="preserve"> </w:t>
      </w:r>
    </w:p>
    <w:p w14:paraId="09D5F483" w14:textId="77777777" w:rsidR="0012558B" w:rsidRDefault="0012558B" w:rsidP="0012558B"/>
    <w:p w14:paraId="7F66F1FF" w14:textId="25EFB6FA" w:rsidR="0012558B" w:rsidRDefault="0012558B" w:rsidP="0012558B">
      <w:r>
        <w:t xml:space="preserve">This site shows the datasets that have differencing available: </w:t>
      </w:r>
    </w:p>
    <w:p w14:paraId="2371ECEA" w14:textId="207660B7" w:rsidR="0012558B" w:rsidRDefault="00984DD9" w:rsidP="0012558B">
      <w:hyperlink r:id="rId31" w:history="1">
        <w:r w:rsidR="0012558B" w:rsidRPr="00D21372">
          <w:rPr>
            <w:rStyle w:val="Hyperlink"/>
          </w:rPr>
          <w:t>https://portal.opentopography.org/dataCatalog?differencing=true</w:t>
        </w:r>
      </w:hyperlink>
      <w:r w:rsidR="0012558B">
        <w:t xml:space="preserve"> </w:t>
      </w:r>
    </w:p>
    <w:p w14:paraId="3DF56BB0" w14:textId="7BCCF1CA" w:rsidR="0012558B" w:rsidRDefault="0012558B" w:rsidP="0012558B">
      <w:r>
        <w:t>Choose “</w:t>
      </w:r>
      <w:hyperlink r:id="rId32" w:history="1">
        <w:r>
          <w:rPr>
            <w:rStyle w:val="Hyperlink"/>
          </w:rPr>
          <w:t>Northern San Andreas Fault, CA</w:t>
        </w:r>
      </w:hyperlink>
      <w:r>
        <w:t xml:space="preserve">” and click “Differencing” </w:t>
      </w:r>
      <w:r>
        <w:rPr>
          <w:noProof/>
        </w:rPr>
        <w:drawing>
          <wp:inline distT="0" distB="0" distL="0" distR="0" wp14:anchorId="36EA6A83" wp14:editId="39AB3913">
            <wp:extent cx="1005023" cy="335008"/>
            <wp:effectExtent l="0" t="0" r="508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07717" cy="335906"/>
                    </a:xfrm>
                    <a:prstGeom prst="rect">
                      <a:avLst/>
                    </a:prstGeom>
                  </pic:spPr>
                </pic:pic>
              </a:graphicData>
            </a:graphic>
          </wp:inline>
        </w:drawing>
      </w:r>
    </w:p>
    <w:p w14:paraId="0064CAB9" w14:textId="587342BA" w:rsidR="0012558B" w:rsidRDefault="0012558B" w:rsidP="0012558B">
      <w:r>
        <w:t xml:space="preserve">You </w:t>
      </w:r>
      <w:proofErr w:type="gramStart"/>
      <w:r>
        <w:t>will be given</w:t>
      </w:r>
      <w:proofErr w:type="gramEnd"/>
      <w:r>
        <w:t xml:space="preserve"> the option of 2D differencing (</w:t>
      </w:r>
      <w:proofErr w:type="spellStart"/>
      <w:r>
        <w:t>rasters</w:t>
      </w:r>
      <w:proofErr w:type="spellEnd"/>
      <w:r>
        <w:t xml:space="preserve">) versus 3D differencing (points). This is in effect equivalent to our work with 2D raster differencing in ArcGIS and cloud-to-cloud differencing in </w:t>
      </w:r>
      <w:proofErr w:type="spellStart"/>
      <w:r>
        <w:t>CloudCompare</w:t>
      </w:r>
      <w:proofErr w:type="spellEnd"/>
      <w:r>
        <w:t>. Choose “Vertical Differencing” and click “Start Differencing”.</w:t>
      </w:r>
    </w:p>
    <w:p w14:paraId="4E1697E4" w14:textId="20ED2159" w:rsidR="0012558B" w:rsidRDefault="0012558B" w:rsidP="0012558B">
      <w:r>
        <w:rPr>
          <w:noProof/>
        </w:rPr>
        <w:lastRenderedPageBreak/>
        <w:drawing>
          <wp:inline distT="0" distB="0" distL="0" distR="0" wp14:anchorId="3937F280" wp14:editId="24F06D00">
            <wp:extent cx="6400800" cy="37630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00800" cy="3763010"/>
                    </a:xfrm>
                    <a:prstGeom prst="rect">
                      <a:avLst/>
                    </a:prstGeom>
                  </pic:spPr>
                </pic:pic>
              </a:graphicData>
            </a:graphic>
          </wp:inline>
        </w:drawing>
      </w:r>
    </w:p>
    <w:p w14:paraId="44250FF3" w14:textId="76B03428" w:rsidR="0012558B" w:rsidRDefault="0012558B" w:rsidP="0012558B"/>
    <w:p w14:paraId="60CDCF7A" w14:textId="0360FBED" w:rsidR="0012558B" w:rsidRDefault="0012558B" w:rsidP="0012558B">
      <w:pPr>
        <w:pStyle w:val="Heading2"/>
      </w:pPr>
      <w:r>
        <w:t>Step 2</w:t>
      </w:r>
    </w:p>
    <w:p w14:paraId="3AAD7316" w14:textId="69C34124" w:rsidR="0012558B" w:rsidRDefault="0012558B" w:rsidP="0012558B">
      <w:r>
        <w:t xml:space="preserve">In the next page, you can choose to switch the reference and compare dataset. </w:t>
      </w:r>
      <w:r w:rsidR="002E1BB0">
        <w:t xml:space="preserve">Select your bounding area that includes BOTH datasets. </w:t>
      </w:r>
      <w:r>
        <w:t xml:space="preserve">Change the error threshold to something reasonable based on what you have learned thus far. State your choice. </w:t>
      </w:r>
      <w:r w:rsidR="002E1BB0">
        <w:t xml:space="preserve">Submit your job. </w:t>
      </w:r>
    </w:p>
    <w:p w14:paraId="02A70428" w14:textId="77777777" w:rsidR="002E1BB0" w:rsidRDefault="002E1BB0" w:rsidP="0012558B"/>
    <w:p w14:paraId="759456ED" w14:textId="5C6D0D8A" w:rsidR="002E1BB0" w:rsidRDefault="002E1BB0" w:rsidP="002E1BB0">
      <w:pPr>
        <w:pStyle w:val="Heading2"/>
      </w:pPr>
      <w:r>
        <w:t>Step 3</w:t>
      </w:r>
    </w:p>
    <w:p w14:paraId="62F89AB1" w14:textId="7320368F" w:rsidR="002E1BB0" w:rsidRDefault="002E1BB0" w:rsidP="002E1BB0">
      <w:r>
        <w:t>Create a series of maps similar to Workflow 1 showing each DEM and a DEM of Difference. (15 pts)</w:t>
      </w:r>
    </w:p>
    <w:p w14:paraId="0FA1E36B" w14:textId="0457C22F" w:rsidR="0012558B" w:rsidRDefault="0012558B" w:rsidP="0012558B"/>
    <w:p w14:paraId="6BD6F482" w14:textId="77777777" w:rsidR="0012558B" w:rsidRDefault="0012558B" w:rsidP="0012558B">
      <w:pPr>
        <w:pStyle w:val="Heading1"/>
      </w:pPr>
      <w:r>
        <w:t>Deliverables</w:t>
      </w:r>
    </w:p>
    <w:p w14:paraId="306F0C2C" w14:textId="013DE454" w:rsidR="0012558B" w:rsidRDefault="002E1BB0" w:rsidP="0012558B">
      <w:r>
        <w:t xml:space="preserve">Maps and answers to questions: </w:t>
      </w:r>
    </w:p>
    <w:p w14:paraId="3E6D2DBA" w14:textId="78A8543D" w:rsidR="002E1BB0" w:rsidRDefault="002E1BB0" w:rsidP="002E1BB0">
      <w:pPr>
        <w:pStyle w:val="ListParagraph"/>
        <w:numPr>
          <w:ilvl w:val="0"/>
          <w:numId w:val="14"/>
        </w:numPr>
      </w:pPr>
      <w:r>
        <w:t>Interpret your topographic difference map. Where was there erosion and where deposition or uplift, etc.? What is the likely cause of the changes? (2 pts)</w:t>
      </w:r>
    </w:p>
    <w:p w14:paraId="21F4B70E" w14:textId="77777777" w:rsidR="002E1BB0" w:rsidRDefault="002E1BB0" w:rsidP="002E1BB0">
      <w:pPr>
        <w:pStyle w:val="ListParagraph"/>
      </w:pPr>
    </w:p>
    <w:p w14:paraId="3FFFDEDF" w14:textId="3A7A1130" w:rsidR="002E1BB0" w:rsidRDefault="002E1BB0" w:rsidP="002E1BB0">
      <w:pPr>
        <w:pStyle w:val="ListParagraph"/>
        <w:numPr>
          <w:ilvl w:val="0"/>
          <w:numId w:val="14"/>
        </w:numPr>
      </w:pPr>
      <w:r>
        <w:t>Defend your level of detection (error threshold) choice. How reliable are your results? (2 pts)</w:t>
      </w:r>
    </w:p>
    <w:p w14:paraId="251A8728" w14:textId="77777777" w:rsidR="002E1BB0" w:rsidRDefault="002E1BB0" w:rsidP="002E1BB0">
      <w:pPr>
        <w:pStyle w:val="ListParagraph"/>
      </w:pPr>
    </w:p>
    <w:p w14:paraId="34F72B06" w14:textId="432EE474" w:rsidR="002E1BB0" w:rsidRDefault="002E1BB0" w:rsidP="002E1BB0">
      <w:pPr>
        <w:pStyle w:val="ListParagraph"/>
        <w:numPr>
          <w:ilvl w:val="0"/>
          <w:numId w:val="14"/>
        </w:numPr>
      </w:pPr>
      <w:proofErr w:type="gramStart"/>
      <w:r>
        <w:t>Under which conditions are you likely to use Open Topography for topographic differencing?</w:t>
      </w:r>
      <w:proofErr w:type="gramEnd"/>
      <w:r>
        <w:t xml:space="preserve"> What are the pros and cons of this method compared to our workflow from Day 8? (3 pts)</w:t>
      </w:r>
    </w:p>
    <w:p w14:paraId="758551EE" w14:textId="3B3B43B1" w:rsidR="00086F5D" w:rsidRDefault="00086F5D" w:rsidP="003755FD"/>
    <w:p w14:paraId="4939552C" w14:textId="76B9027C" w:rsidR="003755FD" w:rsidRPr="00581825" w:rsidRDefault="003755FD" w:rsidP="003755FD">
      <w:pPr>
        <w:pStyle w:val="Title"/>
      </w:pPr>
      <w:r>
        <w:lastRenderedPageBreak/>
        <w:t xml:space="preserve">Unit 2 Rubric – </w:t>
      </w:r>
      <w:proofErr w:type="spellStart"/>
      <w:r w:rsidR="00472FDB">
        <w:t>OpenTopography</w:t>
      </w:r>
      <w:proofErr w:type="spellEnd"/>
      <w:r w:rsidR="00472FDB">
        <w:t xml:space="preserve"> </w:t>
      </w:r>
      <w:r w:rsidR="002E1BB0">
        <w:t>Topographic Differencing</w:t>
      </w:r>
    </w:p>
    <w:p w14:paraId="3785663B" w14:textId="1F03C7AB" w:rsidR="003755FD" w:rsidRDefault="003755FD" w:rsidP="003755FD">
      <w:pPr>
        <w:rPr>
          <w:i/>
        </w:rPr>
      </w:pPr>
      <w:r>
        <w:rPr>
          <w:i/>
        </w:rPr>
        <w:t xml:space="preserve">This rubric covers </w:t>
      </w:r>
      <w:r w:rsidRPr="00581825">
        <w:rPr>
          <w:i/>
        </w:rPr>
        <w:t xml:space="preserve">the material handed in for </w:t>
      </w:r>
      <w:proofErr w:type="spellStart"/>
      <w:r w:rsidR="00472FDB" w:rsidRPr="00472FDB">
        <w:rPr>
          <w:i/>
        </w:rPr>
        <w:t>OpenTopography</w:t>
      </w:r>
      <w:proofErr w:type="spellEnd"/>
      <w:r w:rsidR="00472FDB" w:rsidRPr="00472FDB">
        <w:rPr>
          <w:i/>
        </w:rPr>
        <w:t xml:space="preserve"> </w:t>
      </w:r>
      <w:r w:rsidR="002E1BB0">
        <w:rPr>
          <w:i/>
        </w:rPr>
        <w:t>Topographic Differencing</w:t>
      </w:r>
      <w:r w:rsidR="00472FDB" w:rsidRPr="00472FDB">
        <w:rPr>
          <w:i/>
        </w:rPr>
        <w:t xml:space="preserve"> </w:t>
      </w:r>
      <w:r w:rsidRPr="00581825">
        <w:rPr>
          <w:i/>
        </w:rPr>
        <w:t>exercise and is the summative assessment for the unit.</w:t>
      </w:r>
      <w:r>
        <w:rPr>
          <w:i/>
        </w:rPr>
        <w:t xml:space="preserve"> </w:t>
      </w:r>
    </w:p>
    <w:p w14:paraId="13AFB8D5" w14:textId="77777777" w:rsidR="003755FD" w:rsidRDefault="003755FD" w:rsidP="003755FD"/>
    <w:tbl>
      <w:tblPr>
        <w:tblStyle w:val="TableGrid"/>
        <w:tblW w:w="10116" w:type="dxa"/>
        <w:tblLook w:val="04A0" w:firstRow="1" w:lastRow="0" w:firstColumn="1" w:lastColumn="0" w:noHBand="0" w:noVBand="1"/>
      </w:tblPr>
      <w:tblGrid>
        <w:gridCol w:w="2121"/>
        <w:gridCol w:w="2004"/>
        <w:gridCol w:w="2004"/>
        <w:gridCol w:w="2170"/>
        <w:gridCol w:w="1817"/>
      </w:tblGrid>
      <w:tr w:rsidR="003755FD" w:rsidRPr="007B0A1B" w14:paraId="31CB08CD" w14:textId="77777777" w:rsidTr="00EF5110">
        <w:tc>
          <w:tcPr>
            <w:tcW w:w="2121" w:type="dxa"/>
            <w:shd w:val="clear" w:color="auto" w:fill="F2F2F2" w:themeFill="background1" w:themeFillShade="F2"/>
          </w:tcPr>
          <w:p w14:paraId="57527D39" w14:textId="77777777" w:rsidR="003755FD" w:rsidRPr="00330C28" w:rsidRDefault="003755FD" w:rsidP="00EF5110">
            <w:pPr>
              <w:rPr>
                <w:rFonts w:ascii="Arial" w:hAnsi="Arial" w:cs="Arial"/>
                <w:b/>
                <w:sz w:val="20"/>
                <w:szCs w:val="20"/>
              </w:rPr>
            </w:pPr>
            <w:r w:rsidRPr="00330C28">
              <w:rPr>
                <w:rFonts w:ascii="Arial" w:hAnsi="Arial" w:cs="Arial"/>
                <w:b/>
                <w:sz w:val="20"/>
                <w:szCs w:val="20"/>
              </w:rPr>
              <w:t>Component</w:t>
            </w:r>
          </w:p>
        </w:tc>
        <w:tc>
          <w:tcPr>
            <w:tcW w:w="2004" w:type="dxa"/>
            <w:shd w:val="clear" w:color="auto" w:fill="F2F2F2" w:themeFill="background1" w:themeFillShade="F2"/>
          </w:tcPr>
          <w:p w14:paraId="129AD63E" w14:textId="77777777" w:rsidR="003755FD" w:rsidRPr="00330C28" w:rsidRDefault="003755FD" w:rsidP="00EF5110">
            <w:pPr>
              <w:rPr>
                <w:rFonts w:ascii="Arial" w:hAnsi="Arial" w:cs="Arial"/>
                <w:b/>
                <w:sz w:val="20"/>
                <w:szCs w:val="20"/>
              </w:rPr>
            </w:pPr>
            <w:r w:rsidRPr="00330C28">
              <w:rPr>
                <w:rFonts w:ascii="Arial" w:hAnsi="Arial" w:cs="Arial"/>
                <w:b/>
                <w:sz w:val="20"/>
                <w:szCs w:val="20"/>
              </w:rPr>
              <w:t>Exemplary</w:t>
            </w:r>
            <w:r>
              <w:rPr>
                <w:rFonts w:ascii="Arial" w:hAnsi="Arial" w:cs="Arial"/>
                <w:b/>
                <w:sz w:val="20"/>
                <w:szCs w:val="20"/>
              </w:rPr>
              <w:t xml:space="preserve"> (75-100% points)</w:t>
            </w:r>
          </w:p>
        </w:tc>
        <w:tc>
          <w:tcPr>
            <w:tcW w:w="2004" w:type="dxa"/>
            <w:shd w:val="clear" w:color="auto" w:fill="F2F2F2" w:themeFill="background1" w:themeFillShade="F2"/>
          </w:tcPr>
          <w:p w14:paraId="5919B687" w14:textId="77777777" w:rsidR="003755FD" w:rsidRPr="00330C28" w:rsidRDefault="003755FD" w:rsidP="00EF5110">
            <w:pPr>
              <w:rPr>
                <w:rFonts w:ascii="Arial" w:hAnsi="Arial" w:cs="Arial"/>
                <w:b/>
                <w:sz w:val="20"/>
                <w:szCs w:val="20"/>
              </w:rPr>
            </w:pPr>
            <w:r w:rsidRPr="00330C28">
              <w:rPr>
                <w:rFonts w:ascii="Arial" w:hAnsi="Arial" w:cs="Arial"/>
                <w:b/>
                <w:sz w:val="20"/>
                <w:szCs w:val="20"/>
              </w:rPr>
              <w:t>Basic</w:t>
            </w:r>
            <w:r>
              <w:rPr>
                <w:rFonts w:ascii="Arial" w:hAnsi="Arial" w:cs="Arial"/>
                <w:b/>
                <w:sz w:val="20"/>
                <w:szCs w:val="20"/>
              </w:rPr>
              <w:t xml:space="preserve"> (50-75% points)</w:t>
            </w:r>
          </w:p>
        </w:tc>
        <w:tc>
          <w:tcPr>
            <w:tcW w:w="2170" w:type="dxa"/>
            <w:shd w:val="clear" w:color="auto" w:fill="F2F2F2" w:themeFill="background1" w:themeFillShade="F2"/>
          </w:tcPr>
          <w:p w14:paraId="4A7C471D" w14:textId="77777777" w:rsidR="003755FD" w:rsidRPr="00330C28" w:rsidRDefault="003755FD" w:rsidP="00EF5110">
            <w:pPr>
              <w:rPr>
                <w:rFonts w:ascii="Arial" w:hAnsi="Arial" w:cs="Arial"/>
                <w:b/>
                <w:sz w:val="20"/>
                <w:szCs w:val="20"/>
              </w:rPr>
            </w:pPr>
            <w:r>
              <w:rPr>
                <w:rFonts w:ascii="Arial" w:hAnsi="Arial" w:cs="Arial"/>
                <w:b/>
                <w:sz w:val="20"/>
                <w:szCs w:val="20"/>
              </w:rPr>
              <w:t>Minimal effort (25-50%)</w:t>
            </w:r>
          </w:p>
        </w:tc>
        <w:tc>
          <w:tcPr>
            <w:tcW w:w="1817" w:type="dxa"/>
            <w:shd w:val="clear" w:color="auto" w:fill="F2F2F2" w:themeFill="background1" w:themeFillShade="F2"/>
          </w:tcPr>
          <w:p w14:paraId="1CC0F6DC" w14:textId="77777777" w:rsidR="003755FD" w:rsidRPr="00330C28" w:rsidRDefault="003755FD" w:rsidP="00EF5110">
            <w:pPr>
              <w:rPr>
                <w:rFonts w:ascii="Arial" w:hAnsi="Arial" w:cs="Arial"/>
                <w:b/>
                <w:sz w:val="20"/>
                <w:szCs w:val="20"/>
              </w:rPr>
            </w:pPr>
            <w:r w:rsidRPr="00330C28">
              <w:rPr>
                <w:rFonts w:ascii="Arial" w:hAnsi="Arial" w:cs="Arial"/>
                <w:b/>
                <w:sz w:val="20"/>
                <w:szCs w:val="20"/>
              </w:rPr>
              <w:t>Nonperformance</w:t>
            </w:r>
            <w:r>
              <w:rPr>
                <w:rFonts w:ascii="Arial" w:hAnsi="Arial" w:cs="Arial"/>
                <w:b/>
                <w:sz w:val="20"/>
                <w:szCs w:val="20"/>
              </w:rPr>
              <w:t xml:space="preserve"> (0-25%)</w:t>
            </w:r>
          </w:p>
        </w:tc>
      </w:tr>
      <w:tr w:rsidR="003755FD" w:rsidRPr="007B0A1B" w14:paraId="51A1D1F8" w14:textId="77777777" w:rsidTr="00EF5110">
        <w:tc>
          <w:tcPr>
            <w:tcW w:w="2121" w:type="dxa"/>
            <w:shd w:val="clear" w:color="auto" w:fill="F2F2F2" w:themeFill="background1" w:themeFillShade="F2"/>
          </w:tcPr>
          <w:p w14:paraId="551D60C3" w14:textId="77777777" w:rsidR="003755FD" w:rsidRPr="00330C28" w:rsidRDefault="003755FD" w:rsidP="00EF5110">
            <w:pPr>
              <w:rPr>
                <w:rFonts w:ascii="Arial" w:hAnsi="Arial" w:cs="Arial"/>
                <w:b/>
                <w:sz w:val="20"/>
                <w:szCs w:val="20"/>
              </w:rPr>
            </w:pPr>
            <w:r w:rsidRPr="00330C28">
              <w:rPr>
                <w:rFonts w:ascii="Arial" w:hAnsi="Arial" w:cs="Arial"/>
                <w:b/>
                <w:sz w:val="20"/>
                <w:szCs w:val="20"/>
              </w:rPr>
              <w:t>General Considerations</w:t>
            </w:r>
          </w:p>
        </w:tc>
        <w:tc>
          <w:tcPr>
            <w:tcW w:w="2004" w:type="dxa"/>
          </w:tcPr>
          <w:p w14:paraId="6315ECD5" w14:textId="77777777" w:rsidR="003755FD" w:rsidRPr="00330C28" w:rsidRDefault="003755FD" w:rsidP="00EF5110">
            <w:pPr>
              <w:rPr>
                <w:rFonts w:ascii="Arial" w:hAnsi="Arial" w:cs="Arial"/>
                <w:sz w:val="20"/>
                <w:szCs w:val="20"/>
              </w:rPr>
            </w:pPr>
            <w:r w:rsidRPr="00330C28">
              <w:rPr>
                <w:rFonts w:ascii="Arial" w:hAnsi="Arial" w:cs="Arial"/>
                <w:sz w:val="20"/>
                <w:szCs w:val="20"/>
              </w:rPr>
              <w:t xml:space="preserve">Exemplary work </w:t>
            </w:r>
            <w:r>
              <w:rPr>
                <w:rFonts w:ascii="Arial" w:hAnsi="Arial" w:cs="Arial"/>
                <w:sz w:val="20"/>
                <w:szCs w:val="20"/>
              </w:rPr>
              <w:t xml:space="preserve">will not just answer all components of the given question but also answer correctly, completely, and thoughtfully. Attention to detail, as well as answers that are logical and make sense, is an important piece of this. </w:t>
            </w:r>
          </w:p>
        </w:tc>
        <w:tc>
          <w:tcPr>
            <w:tcW w:w="2004" w:type="dxa"/>
          </w:tcPr>
          <w:p w14:paraId="5B2B98F8" w14:textId="77777777" w:rsidR="003755FD" w:rsidRPr="00330C28" w:rsidRDefault="003755FD" w:rsidP="00EF5110">
            <w:pPr>
              <w:rPr>
                <w:rFonts w:ascii="Arial" w:hAnsi="Arial" w:cs="Arial"/>
                <w:sz w:val="20"/>
                <w:szCs w:val="20"/>
              </w:rPr>
            </w:pPr>
            <w:r>
              <w:rPr>
                <w:rFonts w:ascii="Arial" w:hAnsi="Arial" w:cs="Arial"/>
                <w:sz w:val="20"/>
                <w:szCs w:val="20"/>
              </w:rPr>
              <w:t xml:space="preserve">Basic work may answer all components of the given question, but answers are incorrect, </w:t>
            </w:r>
            <w:proofErr w:type="gramStart"/>
            <w:r>
              <w:rPr>
                <w:rFonts w:ascii="Arial" w:hAnsi="Arial" w:cs="Arial"/>
                <w:sz w:val="20"/>
                <w:szCs w:val="20"/>
              </w:rPr>
              <w:t>ill-considered</w:t>
            </w:r>
            <w:proofErr w:type="gramEnd"/>
            <w:r>
              <w:rPr>
                <w:rFonts w:ascii="Arial" w:hAnsi="Arial" w:cs="Arial"/>
                <w:sz w:val="20"/>
                <w:szCs w:val="20"/>
              </w:rPr>
              <w:t xml:space="preserve">, or difficult to interpret given the context of the question. Basic work may also be missing components of a given question. </w:t>
            </w:r>
          </w:p>
        </w:tc>
        <w:tc>
          <w:tcPr>
            <w:tcW w:w="2170" w:type="dxa"/>
          </w:tcPr>
          <w:p w14:paraId="32984A05" w14:textId="77777777" w:rsidR="003755FD" w:rsidRPr="00330C28" w:rsidRDefault="003755FD" w:rsidP="00EF5110">
            <w:pPr>
              <w:rPr>
                <w:rFonts w:ascii="Arial" w:hAnsi="Arial" w:cs="Arial"/>
                <w:sz w:val="20"/>
                <w:szCs w:val="20"/>
              </w:rPr>
            </w:pPr>
            <w:r>
              <w:rPr>
                <w:rFonts w:ascii="Arial" w:hAnsi="Arial" w:cs="Arial"/>
                <w:sz w:val="20"/>
                <w:szCs w:val="20"/>
              </w:rPr>
              <w:t xml:space="preserve">Minimal performance occurs when </w:t>
            </w:r>
            <w:proofErr w:type="gramStart"/>
            <w:r>
              <w:rPr>
                <w:rFonts w:ascii="Arial" w:hAnsi="Arial" w:cs="Arial"/>
                <w:sz w:val="20"/>
                <w:szCs w:val="20"/>
              </w:rPr>
              <w:t>students</w:t>
            </w:r>
            <w:proofErr w:type="gramEnd"/>
            <w:r>
              <w:rPr>
                <w:rFonts w:ascii="Arial" w:hAnsi="Arial" w:cs="Arial"/>
                <w:sz w:val="20"/>
                <w:szCs w:val="20"/>
              </w:rPr>
              <w:t xml:space="preserve"> answers simply do not make sense and are incorrect.</w:t>
            </w:r>
          </w:p>
        </w:tc>
        <w:tc>
          <w:tcPr>
            <w:tcW w:w="1817" w:type="dxa"/>
          </w:tcPr>
          <w:p w14:paraId="175C7930" w14:textId="77777777" w:rsidR="003755FD" w:rsidRDefault="003755FD" w:rsidP="00EF5110">
            <w:pPr>
              <w:rPr>
                <w:rFonts w:ascii="Arial" w:hAnsi="Arial" w:cs="Arial"/>
                <w:sz w:val="20"/>
                <w:szCs w:val="20"/>
              </w:rPr>
            </w:pPr>
            <w:r>
              <w:rPr>
                <w:rFonts w:ascii="Arial" w:hAnsi="Arial" w:cs="Arial"/>
                <w:sz w:val="20"/>
                <w:szCs w:val="20"/>
              </w:rPr>
              <w:t xml:space="preserve">Nonperformance occurs when students are missing large portions of the assignment. </w:t>
            </w:r>
          </w:p>
        </w:tc>
      </w:tr>
    </w:tbl>
    <w:p w14:paraId="48010563" w14:textId="77777777" w:rsidR="003755FD" w:rsidRPr="00253AED" w:rsidRDefault="003755FD" w:rsidP="003755FD"/>
    <w:p w14:paraId="6A388F30" w14:textId="77777777" w:rsidR="003755FD" w:rsidRPr="00FA2B78" w:rsidRDefault="003755FD" w:rsidP="003755FD"/>
    <w:p w14:paraId="3D21AD3B" w14:textId="77777777" w:rsidR="003755FD" w:rsidRPr="003755FD" w:rsidRDefault="003755FD" w:rsidP="003755FD"/>
    <w:p w14:paraId="7137AA9B" w14:textId="77777777" w:rsidR="003755FD" w:rsidRPr="000D2F83" w:rsidRDefault="003755FD" w:rsidP="000D2F83"/>
    <w:sectPr w:rsidR="003755FD" w:rsidRPr="000D2F83" w:rsidSect="000D2F83">
      <w:headerReference w:type="default" r:id="rId35"/>
      <w:footerReference w:type="even" r:id="rId36"/>
      <w:footerReference w:type="default" r:id="rId37"/>
      <w:headerReference w:type="first" r:id="rId38"/>
      <w:footerReference w:type="first" r:id="rId39"/>
      <w:type w:val="continuous"/>
      <w:pgSz w:w="12240" w:h="15840"/>
      <w:pgMar w:top="1440" w:right="1080" w:bottom="1440" w:left="108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F47D" w14:textId="77777777" w:rsidR="00984DD9" w:rsidRDefault="00984DD9" w:rsidP="008D0B9B">
      <w:r>
        <w:separator/>
      </w:r>
    </w:p>
  </w:endnote>
  <w:endnote w:type="continuationSeparator" w:id="0">
    <w:p w14:paraId="243C942C" w14:textId="77777777" w:rsidR="00984DD9" w:rsidRDefault="00984DD9"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28BD" w14:textId="77777777" w:rsidR="00724600" w:rsidRDefault="00724600"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BD970" w14:textId="77777777" w:rsidR="00724600" w:rsidRDefault="00724600"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3610" w14:textId="1F45E8E8" w:rsidR="00724600" w:rsidRPr="001F6775" w:rsidRDefault="00724600" w:rsidP="001F6775">
    <w:pPr>
      <w:pStyle w:val="footertext"/>
      <w:rPr>
        <w:noProof/>
      </w:rPr>
    </w:pPr>
    <w:r>
      <w:tab/>
      <w:t xml:space="preserve">Page </w:t>
    </w:r>
    <w:r w:rsidRPr="00070ABA">
      <w:fldChar w:fldCharType="begin"/>
    </w:r>
    <w:r w:rsidRPr="00070ABA">
      <w:instrText xml:space="preserve"> PAGE   \* MERGEFORMAT </w:instrText>
    </w:r>
    <w:r w:rsidRPr="00070ABA">
      <w:fldChar w:fldCharType="separate"/>
    </w:r>
    <w:r w:rsidR="00105173">
      <w:rPr>
        <w:noProof/>
      </w:rPr>
      <w:t>8</w:t>
    </w:r>
    <w:r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D341" w14:textId="74903AF7" w:rsidR="00724600" w:rsidRPr="006B3910" w:rsidRDefault="00724600" w:rsidP="001F6775">
    <w:pPr>
      <w:pStyle w:val="footertext"/>
      <w:rPr>
        <w:noProof/>
      </w:rPr>
    </w:pPr>
    <w:r w:rsidRPr="00A1626C">
      <w:t>Quest</w:t>
    </w:r>
    <w:r>
      <w:t xml:space="preserve">ions or comments please contact </w:t>
    </w:r>
    <w:r>
      <w:rPr>
        <w:u w:val="single"/>
      </w:rPr>
      <w:t>education</w:t>
    </w:r>
    <w:r w:rsidRPr="00EC4BE7">
      <w:rPr>
        <w:u w:val="single"/>
      </w:rPr>
      <w:t xml:space="preserve"> AT unavco.org</w:t>
    </w:r>
    <w:r>
      <w:rPr>
        <w:i w:val="0"/>
      </w:rPr>
      <w:t>.</w:t>
    </w:r>
    <w:r w:rsidRPr="001F6775">
      <w:t xml:space="preserve"> Version</w:t>
    </w:r>
    <w:r>
      <w:t xml:space="preserve"> </w:t>
    </w:r>
    <w:r w:rsidR="00472FDB">
      <w:t>July 22</w:t>
    </w:r>
    <w:r w:rsidR="00C52CCD">
      <w:t>, 2020</w:t>
    </w:r>
    <w:r>
      <w:t>.</w:t>
    </w:r>
    <w:r>
      <w:tab/>
      <w:t xml:space="preserve">Page </w:t>
    </w:r>
    <w:r w:rsidRPr="00070ABA">
      <w:fldChar w:fldCharType="begin"/>
    </w:r>
    <w:r w:rsidRPr="00070ABA">
      <w:instrText xml:space="preserve"> PAGE   \* MERGEFORMAT </w:instrText>
    </w:r>
    <w:r w:rsidRPr="00070ABA">
      <w:fldChar w:fldCharType="separate"/>
    </w:r>
    <w:r w:rsidR="00105173">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D68D" w14:textId="77777777" w:rsidR="00984DD9" w:rsidRDefault="00984DD9" w:rsidP="008D0B9B">
      <w:r>
        <w:separator/>
      </w:r>
    </w:p>
  </w:footnote>
  <w:footnote w:type="continuationSeparator" w:id="0">
    <w:p w14:paraId="36495AE6" w14:textId="77777777" w:rsidR="00984DD9" w:rsidRDefault="00984DD9"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7ABE" w14:textId="46E9DCB0" w:rsidR="00724600" w:rsidRPr="0015703B" w:rsidRDefault="00472FDB" w:rsidP="00070ABA">
    <w:pPr>
      <w:pStyle w:val="Header"/>
      <w:pBdr>
        <w:bottom w:val="single" w:sz="4" w:space="1" w:color="auto"/>
      </w:pBdr>
      <w:spacing w:after="0"/>
      <w:rPr>
        <w:rFonts w:ascii="Arial" w:hAnsi="Arial"/>
        <w:i/>
        <w:color w:val="7F7F7F" w:themeColor="text1" w:themeTint="80"/>
        <w:sz w:val="20"/>
        <w:szCs w:val="20"/>
      </w:rPr>
    </w:pPr>
    <w:proofErr w:type="spellStart"/>
    <w:r w:rsidRPr="00472FDB">
      <w:rPr>
        <w:rFonts w:ascii="Arial" w:hAnsi="Arial"/>
        <w:i/>
        <w:color w:val="7F7F7F" w:themeColor="text1" w:themeTint="80"/>
        <w:sz w:val="20"/>
        <w:szCs w:val="20"/>
      </w:rPr>
      <w:t>OpenTopography</w:t>
    </w:r>
    <w:proofErr w:type="spellEnd"/>
    <w:r w:rsidRPr="00472FDB">
      <w:rPr>
        <w:rFonts w:ascii="Arial" w:hAnsi="Arial"/>
        <w:i/>
        <w:color w:val="7F7F7F" w:themeColor="text1" w:themeTint="80"/>
        <w:sz w:val="20"/>
        <w:szCs w:val="20"/>
      </w:rPr>
      <w:t xml:space="preserve"> Data Sources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E861" w14:textId="3E356AF6" w:rsidR="00724600" w:rsidRPr="001612D0" w:rsidRDefault="001612D0" w:rsidP="001612D0">
    <w:pPr>
      <w:spacing w:after="0"/>
      <w:rPr>
        <w:rFonts w:eastAsia="Times New Roman"/>
      </w:rPr>
    </w:pPr>
    <w:r w:rsidRPr="001612D0">
      <w:rPr>
        <w:rFonts w:eastAsia="Times New Roman"/>
        <w:noProof/>
      </w:rPr>
      <w:drawing>
        <wp:anchor distT="0" distB="0" distL="114300" distR="114300" simplePos="0" relativeHeight="251659264" behindDoc="0" locked="0" layoutInCell="1" allowOverlap="1" wp14:anchorId="7C2945B1" wp14:editId="4BCCD4B0">
          <wp:simplePos x="0" y="0"/>
          <wp:positionH relativeFrom="column">
            <wp:posOffset>4415155</wp:posOffset>
          </wp:positionH>
          <wp:positionV relativeFrom="paragraph">
            <wp:posOffset>-189230</wp:posOffset>
          </wp:positionV>
          <wp:extent cx="1126490" cy="380365"/>
          <wp:effectExtent l="0" t="0" r="3810" b="635"/>
          <wp:wrapNone/>
          <wp:docPr id="10" name="Picture 10" descr="University of Northern Colorado - Greeley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orthern Colorado - Greeley Col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E2AB8B4" wp14:editId="0404EB8B">
          <wp:simplePos x="0" y="0"/>
          <wp:positionH relativeFrom="margin">
            <wp:posOffset>5691978</wp:posOffset>
          </wp:positionH>
          <wp:positionV relativeFrom="margin">
            <wp:posOffset>-631825</wp:posOffset>
          </wp:positionV>
          <wp:extent cx="670560" cy="350520"/>
          <wp:effectExtent l="0" t="0" r="254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TSI_title.png"/>
                  <pic:cNvPicPr/>
                </pic:nvPicPr>
                <pic:blipFill>
                  <a:blip r:embed="rId2"/>
                  <a:stretch>
                    <a:fillRect/>
                  </a:stretch>
                </pic:blipFill>
                <pic:spPr>
                  <a:xfrm>
                    <a:off x="0" y="0"/>
                    <a:ext cx="670560" cy="350520"/>
                  </a:xfrm>
                  <a:prstGeom prst="rect">
                    <a:avLst/>
                  </a:prstGeom>
                </pic:spPr>
              </pic:pic>
            </a:graphicData>
          </a:graphic>
        </wp:anchor>
      </w:drawing>
    </w:r>
    <w:r w:rsidRPr="001612D0">
      <w:rPr>
        <w:rFonts w:eastAsia="Times New Roman"/>
      </w:rPr>
      <w:fldChar w:fldCharType="begin"/>
    </w:r>
    <w:r w:rsidRPr="001612D0">
      <w:rPr>
        <w:rFonts w:eastAsia="Times New Roman"/>
      </w:rPr>
      <w:instrText xml:space="preserve"> INCLUDEPICTURE "https://www.unco.edu/_resources/images/core/branding/2017/UNC2017-mobile-header.png" \* MERGEFORMATINET </w:instrText>
    </w:r>
    <w:r w:rsidRPr="001612D0">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36C2"/>
    <w:multiLevelType w:val="multilevel"/>
    <w:tmpl w:val="C8EE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A0D63"/>
    <w:multiLevelType w:val="hybridMultilevel"/>
    <w:tmpl w:val="9A40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6733E"/>
    <w:multiLevelType w:val="hybridMultilevel"/>
    <w:tmpl w:val="D926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351C5"/>
    <w:multiLevelType w:val="hybridMultilevel"/>
    <w:tmpl w:val="7CEC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31F3C"/>
    <w:multiLevelType w:val="hybridMultilevel"/>
    <w:tmpl w:val="66402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850BD"/>
    <w:multiLevelType w:val="multilevel"/>
    <w:tmpl w:val="4FEEF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C1916"/>
    <w:multiLevelType w:val="hybridMultilevel"/>
    <w:tmpl w:val="108C2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A7425"/>
    <w:multiLevelType w:val="hybridMultilevel"/>
    <w:tmpl w:val="0EE6EF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675EA"/>
    <w:multiLevelType w:val="hybridMultilevel"/>
    <w:tmpl w:val="765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F6A63"/>
    <w:multiLevelType w:val="hybridMultilevel"/>
    <w:tmpl w:val="5BEE3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F1E66"/>
    <w:multiLevelType w:val="multilevel"/>
    <w:tmpl w:val="DC46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46AA0"/>
    <w:multiLevelType w:val="hybridMultilevel"/>
    <w:tmpl w:val="A74C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A2BBA"/>
    <w:multiLevelType w:val="hybridMultilevel"/>
    <w:tmpl w:val="8690C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5"/>
  </w:num>
  <w:num w:numId="5">
    <w:abstractNumId w:val="3"/>
  </w:num>
  <w:num w:numId="6">
    <w:abstractNumId w:val="13"/>
  </w:num>
  <w:num w:numId="7">
    <w:abstractNumId w:val="11"/>
  </w:num>
  <w:num w:numId="8">
    <w:abstractNumId w:val="8"/>
  </w:num>
  <w:num w:numId="9">
    <w:abstractNumId w:val="10"/>
  </w:num>
  <w:num w:numId="10">
    <w:abstractNumId w:val="4"/>
  </w:num>
  <w:num w:numId="11">
    <w:abstractNumId w:val="7"/>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90"/>
    <w:rsid w:val="00005A3F"/>
    <w:rsid w:val="000077C0"/>
    <w:rsid w:val="00014336"/>
    <w:rsid w:val="0001651F"/>
    <w:rsid w:val="00036057"/>
    <w:rsid w:val="00067AA5"/>
    <w:rsid w:val="00070ABA"/>
    <w:rsid w:val="000843C7"/>
    <w:rsid w:val="00086F5D"/>
    <w:rsid w:val="000D2F83"/>
    <w:rsid w:val="000F2062"/>
    <w:rsid w:val="000F3BB4"/>
    <w:rsid w:val="00105173"/>
    <w:rsid w:val="00105B8D"/>
    <w:rsid w:val="0012558B"/>
    <w:rsid w:val="00127658"/>
    <w:rsid w:val="00133F1D"/>
    <w:rsid w:val="00140774"/>
    <w:rsid w:val="00144AB0"/>
    <w:rsid w:val="0015703B"/>
    <w:rsid w:val="001612D0"/>
    <w:rsid w:val="00162112"/>
    <w:rsid w:val="001748DB"/>
    <w:rsid w:val="001906C9"/>
    <w:rsid w:val="00193BA6"/>
    <w:rsid w:val="0019721E"/>
    <w:rsid w:val="001D43CC"/>
    <w:rsid w:val="001F6775"/>
    <w:rsid w:val="002122AC"/>
    <w:rsid w:val="002122C2"/>
    <w:rsid w:val="00222B89"/>
    <w:rsid w:val="0024069B"/>
    <w:rsid w:val="00241FD8"/>
    <w:rsid w:val="00247DC7"/>
    <w:rsid w:val="00250333"/>
    <w:rsid w:val="00253AED"/>
    <w:rsid w:val="00266649"/>
    <w:rsid w:val="00272DB0"/>
    <w:rsid w:val="002734AF"/>
    <w:rsid w:val="0027453F"/>
    <w:rsid w:val="002B1E80"/>
    <w:rsid w:val="002E1BB0"/>
    <w:rsid w:val="002F4298"/>
    <w:rsid w:val="003051B8"/>
    <w:rsid w:val="00320A67"/>
    <w:rsid w:val="00340BD6"/>
    <w:rsid w:val="00340E37"/>
    <w:rsid w:val="003439E4"/>
    <w:rsid w:val="003578DB"/>
    <w:rsid w:val="003620E9"/>
    <w:rsid w:val="00365B7B"/>
    <w:rsid w:val="00372CBD"/>
    <w:rsid w:val="003755FD"/>
    <w:rsid w:val="003C241F"/>
    <w:rsid w:val="003E1136"/>
    <w:rsid w:val="003F3A76"/>
    <w:rsid w:val="0041400D"/>
    <w:rsid w:val="00440129"/>
    <w:rsid w:val="00445620"/>
    <w:rsid w:val="0045449F"/>
    <w:rsid w:val="004720F0"/>
    <w:rsid w:val="00472FDB"/>
    <w:rsid w:val="00476800"/>
    <w:rsid w:val="00482EA3"/>
    <w:rsid w:val="00487C72"/>
    <w:rsid w:val="004911E5"/>
    <w:rsid w:val="0049342C"/>
    <w:rsid w:val="004A1346"/>
    <w:rsid w:val="004B5DFD"/>
    <w:rsid w:val="004E2ED5"/>
    <w:rsid w:val="005114C1"/>
    <w:rsid w:val="005234A3"/>
    <w:rsid w:val="005338D9"/>
    <w:rsid w:val="0054669F"/>
    <w:rsid w:val="005536E0"/>
    <w:rsid w:val="00556BAE"/>
    <w:rsid w:val="005575C5"/>
    <w:rsid w:val="00570CDF"/>
    <w:rsid w:val="0057158F"/>
    <w:rsid w:val="00584DFA"/>
    <w:rsid w:val="00586655"/>
    <w:rsid w:val="005870CC"/>
    <w:rsid w:val="00595A8E"/>
    <w:rsid w:val="005A56F8"/>
    <w:rsid w:val="005B28D7"/>
    <w:rsid w:val="005C4680"/>
    <w:rsid w:val="005D418B"/>
    <w:rsid w:val="005D7F3B"/>
    <w:rsid w:val="005E059A"/>
    <w:rsid w:val="005E5FA8"/>
    <w:rsid w:val="005F0E50"/>
    <w:rsid w:val="005F4C83"/>
    <w:rsid w:val="00603FE7"/>
    <w:rsid w:val="00605787"/>
    <w:rsid w:val="00605FE4"/>
    <w:rsid w:val="00630474"/>
    <w:rsid w:val="00642FEA"/>
    <w:rsid w:val="006632E3"/>
    <w:rsid w:val="00681763"/>
    <w:rsid w:val="006A2665"/>
    <w:rsid w:val="006B09AA"/>
    <w:rsid w:val="006B3910"/>
    <w:rsid w:val="006D1436"/>
    <w:rsid w:val="006D28B2"/>
    <w:rsid w:val="006D4861"/>
    <w:rsid w:val="006D661E"/>
    <w:rsid w:val="006D6A10"/>
    <w:rsid w:val="006E41F2"/>
    <w:rsid w:val="006E7231"/>
    <w:rsid w:val="006F5B55"/>
    <w:rsid w:val="00700647"/>
    <w:rsid w:val="00714852"/>
    <w:rsid w:val="00720DC6"/>
    <w:rsid w:val="00722A15"/>
    <w:rsid w:val="00724600"/>
    <w:rsid w:val="00732314"/>
    <w:rsid w:val="0075435C"/>
    <w:rsid w:val="00765461"/>
    <w:rsid w:val="007705CA"/>
    <w:rsid w:val="00794968"/>
    <w:rsid w:val="0079548B"/>
    <w:rsid w:val="007A5481"/>
    <w:rsid w:val="007B6D90"/>
    <w:rsid w:val="007D2785"/>
    <w:rsid w:val="007D2C82"/>
    <w:rsid w:val="007D6EF1"/>
    <w:rsid w:val="007F1EBC"/>
    <w:rsid w:val="0080428E"/>
    <w:rsid w:val="008102A8"/>
    <w:rsid w:val="00822DF7"/>
    <w:rsid w:val="00832E40"/>
    <w:rsid w:val="008410A8"/>
    <w:rsid w:val="0084315F"/>
    <w:rsid w:val="008522DC"/>
    <w:rsid w:val="00856969"/>
    <w:rsid w:val="0086334F"/>
    <w:rsid w:val="008641A5"/>
    <w:rsid w:val="008678AC"/>
    <w:rsid w:val="008814B3"/>
    <w:rsid w:val="008854F1"/>
    <w:rsid w:val="008945A5"/>
    <w:rsid w:val="00897E73"/>
    <w:rsid w:val="008D0B9B"/>
    <w:rsid w:val="008D678A"/>
    <w:rsid w:val="008E3DB5"/>
    <w:rsid w:val="008F7011"/>
    <w:rsid w:val="008F7170"/>
    <w:rsid w:val="0091559F"/>
    <w:rsid w:val="009249DD"/>
    <w:rsid w:val="0094021F"/>
    <w:rsid w:val="009529C5"/>
    <w:rsid w:val="00980E27"/>
    <w:rsid w:val="00981C6D"/>
    <w:rsid w:val="00984DD9"/>
    <w:rsid w:val="009A6198"/>
    <w:rsid w:val="009B1D6B"/>
    <w:rsid w:val="009B4662"/>
    <w:rsid w:val="009C0FCD"/>
    <w:rsid w:val="009D0E71"/>
    <w:rsid w:val="009E437A"/>
    <w:rsid w:val="009E5EE9"/>
    <w:rsid w:val="00A1122F"/>
    <w:rsid w:val="00A13144"/>
    <w:rsid w:val="00A1626C"/>
    <w:rsid w:val="00A25E6D"/>
    <w:rsid w:val="00A43310"/>
    <w:rsid w:val="00A45D7F"/>
    <w:rsid w:val="00A64993"/>
    <w:rsid w:val="00A66B8D"/>
    <w:rsid w:val="00A75D14"/>
    <w:rsid w:val="00A76585"/>
    <w:rsid w:val="00AA46F5"/>
    <w:rsid w:val="00AC2E78"/>
    <w:rsid w:val="00AC4A78"/>
    <w:rsid w:val="00AD5AE6"/>
    <w:rsid w:val="00AF1728"/>
    <w:rsid w:val="00B25FB1"/>
    <w:rsid w:val="00B417FC"/>
    <w:rsid w:val="00B5468C"/>
    <w:rsid w:val="00B84C8B"/>
    <w:rsid w:val="00B95611"/>
    <w:rsid w:val="00BD1D03"/>
    <w:rsid w:val="00BE485C"/>
    <w:rsid w:val="00BE4EFA"/>
    <w:rsid w:val="00BF62C9"/>
    <w:rsid w:val="00C00F8C"/>
    <w:rsid w:val="00C1198A"/>
    <w:rsid w:val="00C441A4"/>
    <w:rsid w:val="00C52CCD"/>
    <w:rsid w:val="00C63EF9"/>
    <w:rsid w:val="00C64954"/>
    <w:rsid w:val="00C76B27"/>
    <w:rsid w:val="00C845DE"/>
    <w:rsid w:val="00C9384C"/>
    <w:rsid w:val="00CB1EA6"/>
    <w:rsid w:val="00CC22C0"/>
    <w:rsid w:val="00CF0099"/>
    <w:rsid w:val="00CF3C06"/>
    <w:rsid w:val="00CF4977"/>
    <w:rsid w:val="00CF6C62"/>
    <w:rsid w:val="00D01A1A"/>
    <w:rsid w:val="00D05909"/>
    <w:rsid w:val="00D219F7"/>
    <w:rsid w:val="00D43556"/>
    <w:rsid w:val="00D44B2A"/>
    <w:rsid w:val="00D717C5"/>
    <w:rsid w:val="00D7206E"/>
    <w:rsid w:val="00D97D70"/>
    <w:rsid w:val="00DA305D"/>
    <w:rsid w:val="00DB1AB8"/>
    <w:rsid w:val="00DB700F"/>
    <w:rsid w:val="00DC5AD7"/>
    <w:rsid w:val="00DE5005"/>
    <w:rsid w:val="00DE6480"/>
    <w:rsid w:val="00DF411A"/>
    <w:rsid w:val="00DF4166"/>
    <w:rsid w:val="00E14496"/>
    <w:rsid w:val="00E218F9"/>
    <w:rsid w:val="00E27410"/>
    <w:rsid w:val="00E43BBD"/>
    <w:rsid w:val="00E779E1"/>
    <w:rsid w:val="00E900F5"/>
    <w:rsid w:val="00E92FF8"/>
    <w:rsid w:val="00EA3489"/>
    <w:rsid w:val="00EB2CD9"/>
    <w:rsid w:val="00EB7AFF"/>
    <w:rsid w:val="00EC4BE7"/>
    <w:rsid w:val="00ED214C"/>
    <w:rsid w:val="00EE65C3"/>
    <w:rsid w:val="00F37159"/>
    <w:rsid w:val="00F414F8"/>
    <w:rsid w:val="00F445CB"/>
    <w:rsid w:val="00F457E9"/>
    <w:rsid w:val="00F56EED"/>
    <w:rsid w:val="00FA00A8"/>
    <w:rsid w:val="00FA739A"/>
    <w:rsid w:val="00FB1766"/>
    <w:rsid w:val="00FC5A02"/>
    <w:rsid w:val="00FD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88780"/>
  <w14:defaultImageDpi w14:val="300"/>
  <w15:docId w15:val="{C1EF9061-5983-8C4E-A36A-A6CC311F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03"/>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BD1D03"/>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BD1D03"/>
    <w:pPr>
      <w:keepNext/>
      <w:keepLines/>
      <w:outlineLvl w:val="1"/>
    </w:pPr>
    <w:rPr>
      <w:rFonts w:ascii="Arial" w:eastAsiaTheme="majorEastAsia" w:hAnsi="Arial" w:cstheme="majorBidi"/>
      <w:bCs/>
      <w:i/>
      <w:sz w:val="22"/>
      <w:szCs w:val="26"/>
      <w:u w:val="single"/>
    </w:rPr>
  </w:style>
  <w:style w:type="paragraph" w:styleId="Heading3">
    <w:name w:val="heading 3"/>
    <w:basedOn w:val="Normal"/>
    <w:next w:val="Normal"/>
    <w:link w:val="Heading3Char"/>
    <w:uiPriority w:val="9"/>
    <w:semiHidden/>
    <w:unhideWhenUsed/>
    <w:qFormat/>
    <w:rsid w:val="00BE4E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BD1D03"/>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BD1D03"/>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15703B"/>
    <w:pPr>
      <w:spacing w:before="120" w:line="276" w:lineRule="auto"/>
    </w:pPr>
    <w:rPr>
      <w:rFonts w:ascii="Arial" w:hAnsi="Arial" w:cs="Arial"/>
      <w:sz w:val="20"/>
      <w:szCs w:val="20"/>
    </w:rPr>
  </w:style>
  <w:style w:type="paragraph" w:customStyle="1" w:styleId="footertext">
    <w:name w:val="footer text"/>
    <w:basedOn w:val="Footer"/>
    <w:link w:val="footertextChar"/>
    <w:qFormat/>
    <w:rsid w:val="00E92FF8"/>
    <w:pPr>
      <w:pBdr>
        <w:top w:val="single" w:sz="4" w:space="1" w:color="auto"/>
      </w:pBdr>
      <w:tabs>
        <w:tab w:val="clear" w:pos="4320"/>
        <w:tab w:val="clear" w:pos="8640"/>
        <w:tab w:val="right" w:pos="9090"/>
      </w:tabs>
      <w:spacing w:after="0" w:line="320" w:lineRule="exact"/>
    </w:pPr>
    <w:rPr>
      <w:rFonts w:ascii="Arial" w:hAnsi="Arial"/>
      <w:i/>
      <w:sz w:val="18"/>
      <w:szCs w:val="20"/>
    </w:rPr>
  </w:style>
  <w:style w:type="character" w:customStyle="1" w:styleId="CaptiontextChar">
    <w:name w:val="Caption text Char"/>
    <w:basedOn w:val="DefaultParagraphFont"/>
    <w:link w:val="Captiontext"/>
    <w:rsid w:val="0015703B"/>
    <w:rPr>
      <w:rFonts w:ascii="Arial" w:hAnsi="Arial" w:cs="Arial"/>
    </w:rPr>
  </w:style>
  <w:style w:type="character" w:customStyle="1" w:styleId="footertextChar">
    <w:name w:val="footer text Char"/>
    <w:basedOn w:val="FooterChar"/>
    <w:link w:val="footertext"/>
    <w:rsid w:val="00E92FF8"/>
    <w:rPr>
      <w:rFonts w:ascii="Arial" w:hAnsi="Arial"/>
      <w:i/>
      <w:sz w:val="18"/>
      <w:szCs w:val="24"/>
    </w:rPr>
  </w:style>
  <w:style w:type="character" w:styleId="Strong">
    <w:name w:val="Strong"/>
    <w:basedOn w:val="DefaultParagraphFont"/>
    <w:uiPriority w:val="22"/>
    <w:qFormat/>
    <w:rsid w:val="00036057"/>
    <w:rPr>
      <w:b/>
      <w:bCs/>
    </w:rPr>
  </w:style>
  <w:style w:type="paragraph" w:customStyle="1" w:styleId="auto-style3">
    <w:name w:val="auto-style3"/>
    <w:basedOn w:val="Normal"/>
    <w:rsid w:val="00036057"/>
    <w:pPr>
      <w:spacing w:before="100" w:beforeAutospacing="1" w:after="100" w:afterAutospacing="1"/>
    </w:pPr>
    <w:rPr>
      <w:rFonts w:eastAsia="Times New Roman"/>
    </w:rPr>
  </w:style>
  <w:style w:type="paragraph" w:customStyle="1" w:styleId="style1">
    <w:name w:val="style1"/>
    <w:basedOn w:val="Normal"/>
    <w:rsid w:val="00036057"/>
    <w:pPr>
      <w:spacing w:before="100" w:beforeAutospacing="1" w:after="100" w:afterAutospacing="1"/>
    </w:pPr>
    <w:rPr>
      <w:rFonts w:eastAsia="Times New Roman"/>
    </w:rPr>
  </w:style>
  <w:style w:type="paragraph" w:styleId="ListParagraph">
    <w:name w:val="List Paragraph"/>
    <w:basedOn w:val="Normal"/>
    <w:uiPriority w:val="34"/>
    <w:qFormat/>
    <w:rsid w:val="00D97D70"/>
    <w:pPr>
      <w:ind w:left="720"/>
      <w:contextualSpacing/>
    </w:pPr>
  </w:style>
  <w:style w:type="character" w:customStyle="1" w:styleId="Heading3Char">
    <w:name w:val="Heading 3 Char"/>
    <w:basedOn w:val="DefaultParagraphFont"/>
    <w:link w:val="Heading3"/>
    <w:uiPriority w:val="9"/>
    <w:semiHidden/>
    <w:rsid w:val="00BE4EFA"/>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BE4EFA"/>
    <w:pPr>
      <w:spacing w:before="100" w:beforeAutospacing="1" w:after="100" w:afterAutospacing="1"/>
    </w:pPr>
    <w:rPr>
      <w:rFonts w:eastAsia="Times New Roman"/>
    </w:rPr>
  </w:style>
  <w:style w:type="table" w:styleId="TableGrid">
    <w:name w:val="Table Grid"/>
    <w:basedOn w:val="TableNormal"/>
    <w:uiPriority w:val="59"/>
    <w:rsid w:val="0088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D2F83"/>
    <w:rPr>
      <w:color w:val="605E5C"/>
      <w:shd w:val="clear" w:color="auto" w:fill="E1DFDD"/>
    </w:rPr>
  </w:style>
  <w:style w:type="character" w:styleId="Emphasis">
    <w:name w:val="Emphasis"/>
    <w:basedOn w:val="DefaultParagraphFont"/>
    <w:uiPriority w:val="20"/>
    <w:qFormat/>
    <w:rsid w:val="00472FDB"/>
    <w:rPr>
      <w:i/>
      <w:iCs/>
    </w:rPr>
  </w:style>
  <w:style w:type="character" w:styleId="FollowedHyperlink">
    <w:name w:val="FollowedHyperlink"/>
    <w:basedOn w:val="DefaultParagraphFont"/>
    <w:uiPriority w:val="99"/>
    <w:semiHidden/>
    <w:unhideWhenUsed/>
    <w:rsid w:val="00125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699">
      <w:bodyDiv w:val="1"/>
      <w:marLeft w:val="0"/>
      <w:marRight w:val="0"/>
      <w:marTop w:val="0"/>
      <w:marBottom w:val="0"/>
      <w:divBdr>
        <w:top w:val="none" w:sz="0" w:space="0" w:color="auto"/>
        <w:left w:val="none" w:sz="0" w:space="0" w:color="auto"/>
        <w:bottom w:val="none" w:sz="0" w:space="0" w:color="auto"/>
        <w:right w:val="none" w:sz="0" w:space="0" w:color="auto"/>
      </w:divBdr>
    </w:div>
    <w:div w:id="243995406">
      <w:bodyDiv w:val="1"/>
      <w:marLeft w:val="0"/>
      <w:marRight w:val="0"/>
      <w:marTop w:val="0"/>
      <w:marBottom w:val="0"/>
      <w:divBdr>
        <w:top w:val="none" w:sz="0" w:space="0" w:color="auto"/>
        <w:left w:val="none" w:sz="0" w:space="0" w:color="auto"/>
        <w:bottom w:val="none" w:sz="0" w:space="0" w:color="auto"/>
        <w:right w:val="none" w:sz="0" w:space="0" w:color="auto"/>
      </w:divBdr>
    </w:div>
    <w:div w:id="369653051">
      <w:bodyDiv w:val="1"/>
      <w:marLeft w:val="0"/>
      <w:marRight w:val="0"/>
      <w:marTop w:val="0"/>
      <w:marBottom w:val="0"/>
      <w:divBdr>
        <w:top w:val="none" w:sz="0" w:space="0" w:color="auto"/>
        <w:left w:val="none" w:sz="0" w:space="0" w:color="auto"/>
        <w:bottom w:val="none" w:sz="0" w:space="0" w:color="auto"/>
        <w:right w:val="none" w:sz="0" w:space="0" w:color="auto"/>
      </w:divBdr>
    </w:div>
    <w:div w:id="389883390">
      <w:bodyDiv w:val="1"/>
      <w:marLeft w:val="0"/>
      <w:marRight w:val="0"/>
      <w:marTop w:val="0"/>
      <w:marBottom w:val="0"/>
      <w:divBdr>
        <w:top w:val="none" w:sz="0" w:space="0" w:color="auto"/>
        <w:left w:val="none" w:sz="0" w:space="0" w:color="auto"/>
        <w:bottom w:val="none" w:sz="0" w:space="0" w:color="auto"/>
        <w:right w:val="none" w:sz="0" w:space="0" w:color="auto"/>
      </w:divBdr>
      <w:divsChild>
        <w:div w:id="1051463108">
          <w:marLeft w:val="0"/>
          <w:marRight w:val="0"/>
          <w:marTop w:val="0"/>
          <w:marBottom w:val="0"/>
          <w:divBdr>
            <w:top w:val="none" w:sz="0" w:space="0" w:color="auto"/>
            <w:left w:val="none" w:sz="0" w:space="0" w:color="auto"/>
            <w:bottom w:val="none" w:sz="0" w:space="0" w:color="auto"/>
            <w:right w:val="none" w:sz="0" w:space="0" w:color="auto"/>
          </w:divBdr>
          <w:divsChild>
            <w:div w:id="1679505480">
              <w:marLeft w:val="0"/>
              <w:marRight w:val="0"/>
              <w:marTop w:val="0"/>
              <w:marBottom w:val="0"/>
              <w:divBdr>
                <w:top w:val="none" w:sz="0" w:space="0" w:color="auto"/>
                <w:left w:val="none" w:sz="0" w:space="0" w:color="auto"/>
                <w:bottom w:val="none" w:sz="0" w:space="0" w:color="auto"/>
                <w:right w:val="none" w:sz="0" w:space="0" w:color="auto"/>
              </w:divBdr>
              <w:divsChild>
                <w:div w:id="1129283395">
                  <w:marLeft w:val="0"/>
                  <w:marRight w:val="0"/>
                  <w:marTop w:val="0"/>
                  <w:marBottom w:val="0"/>
                  <w:divBdr>
                    <w:top w:val="none" w:sz="0" w:space="0" w:color="auto"/>
                    <w:left w:val="none" w:sz="0" w:space="0" w:color="auto"/>
                    <w:bottom w:val="none" w:sz="0" w:space="0" w:color="auto"/>
                    <w:right w:val="none" w:sz="0" w:space="0" w:color="auto"/>
                  </w:divBdr>
                  <w:divsChild>
                    <w:div w:id="935557814">
                      <w:marLeft w:val="0"/>
                      <w:marRight w:val="0"/>
                      <w:marTop w:val="0"/>
                      <w:marBottom w:val="0"/>
                      <w:divBdr>
                        <w:top w:val="none" w:sz="0" w:space="0" w:color="auto"/>
                        <w:left w:val="none" w:sz="0" w:space="0" w:color="auto"/>
                        <w:bottom w:val="none" w:sz="0" w:space="0" w:color="auto"/>
                        <w:right w:val="none" w:sz="0" w:space="0" w:color="auto"/>
                      </w:divBdr>
                      <w:divsChild>
                        <w:div w:id="784614820">
                          <w:marLeft w:val="0"/>
                          <w:marRight w:val="0"/>
                          <w:marTop w:val="0"/>
                          <w:marBottom w:val="0"/>
                          <w:divBdr>
                            <w:top w:val="none" w:sz="0" w:space="0" w:color="auto"/>
                            <w:left w:val="none" w:sz="0" w:space="0" w:color="auto"/>
                            <w:bottom w:val="none" w:sz="0" w:space="0" w:color="auto"/>
                            <w:right w:val="none" w:sz="0" w:space="0" w:color="auto"/>
                          </w:divBdr>
                          <w:divsChild>
                            <w:div w:id="153305854">
                              <w:marLeft w:val="0"/>
                              <w:marRight w:val="0"/>
                              <w:marTop w:val="0"/>
                              <w:marBottom w:val="0"/>
                              <w:divBdr>
                                <w:top w:val="none" w:sz="0" w:space="0" w:color="auto"/>
                                <w:left w:val="none" w:sz="0" w:space="0" w:color="auto"/>
                                <w:bottom w:val="none" w:sz="0" w:space="0" w:color="auto"/>
                                <w:right w:val="none" w:sz="0" w:space="0" w:color="auto"/>
                              </w:divBdr>
                              <w:divsChild>
                                <w:div w:id="70589872">
                                  <w:marLeft w:val="0"/>
                                  <w:marRight w:val="0"/>
                                  <w:marTop w:val="0"/>
                                  <w:marBottom w:val="0"/>
                                  <w:divBdr>
                                    <w:top w:val="none" w:sz="0" w:space="0" w:color="auto"/>
                                    <w:left w:val="none" w:sz="0" w:space="0" w:color="auto"/>
                                    <w:bottom w:val="none" w:sz="0" w:space="0" w:color="auto"/>
                                    <w:right w:val="none" w:sz="0" w:space="0" w:color="auto"/>
                                  </w:divBdr>
                                  <w:divsChild>
                                    <w:div w:id="16916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878026">
      <w:bodyDiv w:val="1"/>
      <w:marLeft w:val="0"/>
      <w:marRight w:val="0"/>
      <w:marTop w:val="0"/>
      <w:marBottom w:val="0"/>
      <w:divBdr>
        <w:top w:val="none" w:sz="0" w:space="0" w:color="auto"/>
        <w:left w:val="none" w:sz="0" w:space="0" w:color="auto"/>
        <w:bottom w:val="none" w:sz="0" w:space="0" w:color="auto"/>
        <w:right w:val="none" w:sz="0" w:space="0" w:color="auto"/>
      </w:divBdr>
    </w:div>
    <w:div w:id="914440932">
      <w:bodyDiv w:val="1"/>
      <w:marLeft w:val="0"/>
      <w:marRight w:val="0"/>
      <w:marTop w:val="0"/>
      <w:marBottom w:val="0"/>
      <w:divBdr>
        <w:top w:val="none" w:sz="0" w:space="0" w:color="auto"/>
        <w:left w:val="none" w:sz="0" w:space="0" w:color="auto"/>
        <w:bottom w:val="none" w:sz="0" w:space="0" w:color="auto"/>
        <w:right w:val="none" w:sz="0" w:space="0" w:color="auto"/>
      </w:divBdr>
    </w:div>
    <w:div w:id="1123580103">
      <w:bodyDiv w:val="1"/>
      <w:marLeft w:val="0"/>
      <w:marRight w:val="0"/>
      <w:marTop w:val="0"/>
      <w:marBottom w:val="0"/>
      <w:divBdr>
        <w:top w:val="none" w:sz="0" w:space="0" w:color="auto"/>
        <w:left w:val="none" w:sz="0" w:space="0" w:color="auto"/>
        <w:bottom w:val="none" w:sz="0" w:space="0" w:color="auto"/>
        <w:right w:val="none" w:sz="0" w:space="0" w:color="auto"/>
      </w:divBdr>
    </w:div>
    <w:div w:id="1187331771">
      <w:bodyDiv w:val="1"/>
      <w:marLeft w:val="0"/>
      <w:marRight w:val="0"/>
      <w:marTop w:val="0"/>
      <w:marBottom w:val="0"/>
      <w:divBdr>
        <w:top w:val="none" w:sz="0" w:space="0" w:color="auto"/>
        <w:left w:val="none" w:sz="0" w:space="0" w:color="auto"/>
        <w:bottom w:val="none" w:sz="0" w:space="0" w:color="auto"/>
        <w:right w:val="none" w:sz="0" w:space="0" w:color="auto"/>
      </w:divBdr>
    </w:div>
    <w:div w:id="1188636617">
      <w:bodyDiv w:val="1"/>
      <w:marLeft w:val="0"/>
      <w:marRight w:val="0"/>
      <w:marTop w:val="0"/>
      <w:marBottom w:val="0"/>
      <w:divBdr>
        <w:top w:val="none" w:sz="0" w:space="0" w:color="auto"/>
        <w:left w:val="none" w:sz="0" w:space="0" w:color="auto"/>
        <w:bottom w:val="none" w:sz="0" w:space="0" w:color="auto"/>
        <w:right w:val="none" w:sz="0" w:space="0" w:color="auto"/>
      </w:divBdr>
    </w:div>
    <w:div w:id="1350987810">
      <w:bodyDiv w:val="1"/>
      <w:marLeft w:val="0"/>
      <w:marRight w:val="0"/>
      <w:marTop w:val="0"/>
      <w:marBottom w:val="0"/>
      <w:divBdr>
        <w:top w:val="none" w:sz="0" w:space="0" w:color="auto"/>
        <w:left w:val="none" w:sz="0" w:space="0" w:color="auto"/>
        <w:bottom w:val="none" w:sz="0" w:space="0" w:color="auto"/>
        <w:right w:val="none" w:sz="0" w:space="0" w:color="auto"/>
      </w:divBdr>
    </w:div>
    <w:div w:id="1416778028">
      <w:bodyDiv w:val="1"/>
      <w:marLeft w:val="0"/>
      <w:marRight w:val="0"/>
      <w:marTop w:val="0"/>
      <w:marBottom w:val="0"/>
      <w:divBdr>
        <w:top w:val="none" w:sz="0" w:space="0" w:color="auto"/>
        <w:left w:val="none" w:sz="0" w:space="0" w:color="auto"/>
        <w:bottom w:val="none" w:sz="0" w:space="0" w:color="auto"/>
        <w:right w:val="none" w:sz="0" w:space="0" w:color="auto"/>
      </w:divBdr>
    </w:div>
    <w:div w:id="1534347323">
      <w:bodyDiv w:val="1"/>
      <w:marLeft w:val="0"/>
      <w:marRight w:val="0"/>
      <w:marTop w:val="0"/>
      <w:marBottom w:val="0"/>
      <w:divBdr>
        <w:top w:val="none" w:sz="0" w:space="0" w:color="auto"/>
        <w:left w:val="none" w:sz="0" w:space="0" w:color="auto"/>
        <w:bottom w:val="none" w:sz="0" w:space="0" w:color="auto"/>
        <w:right w:val="none" w:sz="0" w:space="0" w:color="auto"/>
      </w:divBdr>
    </w:div>
    <w:div w:id="1869876882">
      <w:bodyDiv w:val="1"/>
      <w:marLeft w:val="0"/>
      <w:marRight w:val="0"/>
      <w:marTop w:val="0"/>
      <w:marBottom w:val="0"/>
      <w:divBdr>
        <w:top w:val="none" w:sz="0" w:space="0" w:color="auto"/>
        <w:left w:val="none" w:sz="0" w:space="0" w:color="auto"/>
        <w:bottom w:val="none" w:sz="0" w:space="0" w:color="auto"/>
        <w:right w:val="none" w:sz="0" w:space="0" w:color="auto"/>
      </w:divBdr>
    </w:div>
    <w:div w:id="2104765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opography.org/about" TargetMode="External"/><Relationship Id="rId13" Type="http://schemas.openxmlformats.org/officeDocument/2006/relationships/hyperlink" Target="http://www.asu.edu/" TargetMode="External"/><Relationship Id="rId18" Type="http://schemas.openxmlformats.org/officeDocument/2006/relationships/hyperlink" Target="http://nsf.gov/awardsearch/showAward?AWD_ID=0225673&amp;HistoricalAwards=false" TargetMode="External"/><Relationship Id="rId26" Type="http://schemas.openxmlformats.org/officeDocument/2006/relationships/image" Target="media/image4.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youtu.be/jsWiVuN_zCo"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ese.asu.edu/" TargetMode="External"/><Relationship Id="rId17" Type="http://schemas.openxmlformats.org/officeDocument/2006/relationships/hyperlink" Target="http://www.nsf.gov/funding/pgm_summ.jsp?pims_id=504780&amp;org=EAR" TargetMode="External"/><Relationship Id="rId25" Type="http://schemas.openxmlformats.org/officeDocument/2006/relationships/image" Target="media/image3.png"/><Relationship Id="rId33" Type="http://schemas.openxmlformats.org/officeDocument/2006/relationships/image" Target="media/image6.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sf.gov/funding/pgm_summ.jsp?pims_id=503447&amp;org=EAR" TargetMode="External"/><Relationship Id="rId20" Type="http://schemas.openxmlformats.org/officeDocument/2006/relationships/hyperlink" Target="https://youtu.be/Wt8Png9ogSk" TargetMode="External"/><Relationship Id="rId29" Type="http://schemas.openxmlformats.org/officeDocument/2006/relationships/hyperlink" Target="https://opentopography.org/learn/differenc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sd.edu/" TargetMode="External"/><Relationship Id="rId24" Type="http://schemas.openxmlformats.org/officeDocument/2006/relationships/image" Target="media/image2.png"/><Relationship Id="rId32" Type="http://schemas.openxmlformats.org/officeDocument/2006/relationships/hyperlink" Target="https://portal.opentopography.org/datasetMetadata?otCollectionID=OT.062005.2871.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f.gov/funding/pgm_summ.jsp?pims_id=6186" TargetMode="External"/><Relationship Id="rId23" Type="http://schemas.openxmlformats.org/officeDocument/2006/relationships/hyperlink" Target="https://doi.org/10.5069/G9QR4V2S" TargetMode="External"/><Relationship Id="rId28" Type="http://schemas.openxmlformats.org/officeDocument/2006/relationships/image" Target="media/image5.png"/><Relationship Id="rId36" Type="http://schemas.openxmlformats.org/officeDocument/2006/relationships/footer" Target="footer1.xml"/><Relationship Id="rId10" Type="http://schemas.openxmlformats.org/officeDocument/2006/relationships/hyperlink" Target="http://www.sdsc.edu/" TargetMode="External"/><Relationship Id="rId19" Type="http://schemas.openxmlformats.org/officeDocument/2006/relationships/hyperlink" Target="https://opentopography.org/about/ac" TargetMode="External"/><Relationship Id="rId31" Type="http://schemas.openxmlformats.org/officeDocument/2006/relationships/hyperlink" Target="https://portal.opentopography.org/dataCatalog?differencing=tru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navco.org/" TargetMode="External"/><Relationship Id="rId22" Type="http://schemas.openxmlformats.org/officeDocument/2006/relationships/hyperlink" Target="https://portal.opentopography.org/datasets" TargetMode="External"/><Relationship Id="rId27" Type="http://schemas.openxmlformats.org/officeDocument/2006/relationships/hyperlink" Target="https://youtu.be/A0s3l_wxdHA" TargetMode="External"/><Relationship Id="rId30" Type="http://schemas.openxmlformats.org/officeDocument/2006/relationships/hyperlink" Target="https://youtu.be/BlDx66AQ3G0"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E525-A1F9-4B68-BFE5-F556E071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12944</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Bywater-Reyes, Sharon</cp:lastModifiedBy>
  <cp:revision>12</cp:revision>
  <cp:lastPrinted>2012-11-08T01:31:00Z</cp:lastPrinted>
  <dcterms:created xsi:type="dcterms:W3CDTF">2020-06-22T23:27:00Z</dcterms:created>
  <dcterms:modified xsi:type="dcterms:W3CDTF">2021-01-14T18:31:00Z</dcterms:modified>
</cp:coreProperties>
</file>