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5F8" w:rsidRPr="00EC0A26" w:rsidRDefault="00EC0A26" w:rsidP="00EC0A26">
      <w:pPr>
        <w:jc w:val="center"/>
        <w:rPr>
          <w:b/>
          <w:sz w:val="24"/>
          <w:szCs w:val="24"/>
        </w:rPr>
      </w:pPr>
      <w:r w:rsidRPr="00EC0A26">
        <w:rPr>
          <w:b/>
          <w:sz w:val="24"/>
          <w:szCs w:val="24"/>
        </w:rPr>
        <w:t>Nuclear Power</w:t>
      </w:r>
    </w:p>
    <w:p w:rsidR="00EC0A26" w:rsidRDefault="00EC0A26" w:rsidP="00EC0A26">
      <w:pPr>
        <w:jc w:val="center"/>
        <w:rPr>
          <w:b/>
          <w:sz w:val="24"/>
          <w:szCs w:val="24"/>
        </w:rPr>
      </w:pPr>
      <w:r w:rsidRPr="00EC0A26">
        <w:rPr>
          <w:b/>
          <w:sz w:val="24"/>
          <w:szCs w:val="24"/>
        </w:rPr>
        <w:t xml:space="preserve">Activity </w:t>
      </w:r>
      <w:r w:rsidR="001E0BDE">
        <w:rPr>
          <w:b/>
          <w:sz w:val="24"/>
          <w:szCs w:val="24"/>
        </w:rPr>
        <w:t>4</w:t>
      </w:r>
      <w:r w:rsidRPr="00EC0A26">
        <w:rPr>
          <w:b/>
          <w:sz w:val="24"/>
          <w:szCs w:val="24"/>
        </w:rPr>
        <w:t xml:space="preserve">: </w:t>
      </w:r>
      <w:r w:rsidR="001E0BDE">
        <w:rPr>
          <w:b/>
          <w:sz w:val="24"/>
          <w:szCs w:val="24"/>
        </w:rPr>
        <w:t>The Alternative Thorium Fuel Cycle</w:t>
      </w:r>
    </w:p>
    <w:p w:rsidR="00EC0A26" w:rsidRDefault="00EC0A26" w:rsidP="00EC0A26"/>
    <w:p w:rsidR="0030495F" w:rsidRDefault="001E0BDE" w:rsidP="00EC0A26">
      <w:r>
        <w:t>ost research in nuclear power is focused on the U-Pu fuel cycle. There is, however, an alternative cycle based on thorium. Thorium has one long-lived, radioactive isotope thorium-232 (</w:t>
      </w:r>
      <w:r w:rsidRPr="001E0BDE">
        <w:rPr>
          <w:vertAlign w:val="superscript"/>
        </w:rPr>
        <w:t>232</w:t>
      </w:r>
      <w:r>
        <w:t xml:space="preserve">Th). Along not fissile itself, </w:t>
      </w:r>
      <w:r w:rsidRPr="001E0BDE">
        <w:rPr>
          <w:vertAlign w:val="superscript"/>
        </w:rPr>
        <w:t>232</w:t>
      </w:r>
      <w:r>
        <w:t>Th can be transmuted to uranium-233, which is fissile. The major advantages of a thorium-based nuclear fuel cycle include: thorium is more abundant than uranium (6x); all material mined is used to produce energy as opposed to uranium in which on 0.7 % of the mined material is a fuel; few long-lived transuranic elements in the spent fuel; and reduced radioactive wastes. Countering these advantages are high fuel fabrication costs, some proliferation concerns, and technical problems associated with fuel reprocessing. Still considerable interest is being expressed in future research on a commercialized thorium fuel cycle. In particular, India is conducting major research on this cycle and China has signed an agreement with Canada to test thorium in a CANDU reactor in Quinshan. This activity will explore some of the nuclear physics of a thorium nuclear fuel cycle.</w:t>
      </w:r>
    </w:p>
    <w:p w:rsidR="0030495F" w:rsidRDefault="0030495F" w:rsidP="00EC0A26"/>
    <w:p w:rsidR="00EC0A26" w:rsidRDefault="00835025" w:rsidP="0030495F">
      <w:pPr>
        <w:jc w:val="center"/>
      </w:pPr>
      <w:r>
        <w:rPr>
          <w:noProof/>
        </w:rPr>
        <w:drawing>
          <wp:inline distT="0" distB="0" distL="0" distR="0">
            <wp:extent cx="5943600" cy="1453094"/>
            <wp:effectExtent l="19050" t="0" r="0" b="0"/>
            <wp:docPr id="4" name="Picture 3" descr="heavy element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vy elements.tif"/>
                    <pic:cNvPicPr/>
                  </pic:nvPicPr>
                  <pic:blipFill>
                    <a:blip r:embed="rId7" cstate="print"/>
                    <a:stretch>
                      <a:fillRect/>
                    </a:stretch>
                  </pic:blipFill>
                  <pic:spPr>
                    <a:xfrm>
                      <a:off x="0" y="0"/>
                      <a:ext cx="5943600" cy="1453094"/>
                    </a:xfrm>
                    <a:prstGeom prst="rect">
                      <a:avLst/>
                    </a:prstGeom>
                  </pic:spPr>
                </pic:pic>
              </a:graphicData>
            </a:graphic>
          </wp:inline>
        </w:drawing>
      </w:r>
    </w:p>
    <w:p w:rsidR="0030495F" w:rsidRDefault="0030495F" w:rsidP="0030495F"/>
    <w:p w:rsidR="005F3CEA" w:rsidRDefault="004D375A" w:rsidP="0030495F">
      <w:pPr>
        <w:pStyle w:val="ListParagraph"/>
        <w:numPr>
          <w:ilvl w:val="0"/>
          <w:numId w:val="1"/>
        </w:numPr>
      </w:pPr>
      <w:r>
        <w:rPr>
          <w:vertAlign w:val="superscript"/>
        </w:rPr>
        <w:t>233</w:t>
      </w:r>
      <w:r>
        <w:t>U</w:t>
      </w:r>
      <w:r w:rsidRPr="004D375A">
        <w:t xml:space="preserve"> is breed</w:t>
      </w:r>
      <w:r>
        <w:rPr>
          <w:vertAlign w:val="superscript"/>
        </w:rPr>
        <w:t xml:space="preserve"> </w:t>
      </w:r>
      <w:r>
        <w:t>by in a thermal reactor from 232Th, the single long-lived isotope of thorium. Map out this nuclear synthesis on the portion of the nuclide chart shown below.</w:t>
      </w:r>
    </w:p>
    <w:p w:rsidR="005F3CEA" w:rsidRDefault="005F3CEA" w:rsidP="005F3CEA">
      <w:pPr>
        <w:ind w:left="360"/>
      </w:pPr>
    </w:p>
    <w:p w:rsidR="005F3CEA" w:rsidRDefault="005F3CEA" w:rsidP="005F3CEA">
      <w:pPr>
        <w:ind w:left="360"/>
        <w:jc w:val="center"/>
      </w:pPr>
      <w:r>
        <w:rPr>
          <w:noProof/>
        </w:rPr>
        <w:drawing>
          <wp:inline distT="0" distB="0" distL="0" distR="0">
            <wp:extent cx="4661930" cy="2085974"/>
            <wp:effectExtent l="19050" t="0" r="5320" b="0"/>
            <wp:docPr id="1" name="Picture 0" descr="NCdec_Pu-produc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dec_Pu-production.gif"/>
                    <pic:cNvPicPr/>
                  </pic:nvPicPr>
                  <pic:blipFill>
                    <a:blip r:embed="rId8" cstate="print"/>
                    <a:stretch>
                      <a:fillRect/>
                    </a:stretch>
                  </pic:blipFill>
                  <pic:spPr>
                    <a:xfrm>
                      <a:off x="0" y="0"/>
                      <a:ext cx="4661930" cy="2085974"/>
                    </a:xfrm>
                    <a:prstGeom prst="rect">
                      <a:avLst/>
                    </a:prstGeom>
                  </pic:spPr>
                </pic:pic>
              </a:graphicData>
            </a:graphic>
          </wp:inline>
        </w:drawing>
      </w:r>
    </w:p>
    <w:p w:rsidR="005F3CEA" w:rsidRDefault="005F3CEA" w:rsidP="005F3CEA">
      <w:pPr>
        <w:ind w:left="360"/>
      </w:pPr>
    </w:p>
    <w:p w:rsidR="005F3CEA" w:rsidRDefault="005F3CEA" w:rsidP="005F3CEA">
      <w:pPr>
        <w:ind w:left="360"/>
      </w:pPr>
    </w:p>
    <w:p w:rsidR="00085643" w:rsidRDefault="00085643" w:rsidP="005F3CEA">
      <w:pPr>
        <w:ind w:left="360"/>
      </w:pPr>
      <w:bookmarkStart w:id="0" w:name="_GoBack"/>
      <w:bookmarkEnd w:id="0"/>
    </w:p>
    <w:p w:rsidR="0030495F" w:rsidRDefault="00550D7E" w:rsidP="0030495F">
      <w:pPr>
        <w:pStyle w:val="ListParagraph"/>
        <w:numPr>
          <w:ilvl w:val="0"/>
          <w:numId w:val="1"/>
        </w:numPr>
      </w:pPr>
      <w:r>
        <w:lastRenderedPageBreak/>
        <w:t>Write the nuclear reaction</w:t>
      </w:r>
      <w:r w:rsidR="005F3CEA">
        <w:t>(s)</w:t>
      </w:r>
      <w:r>
        <w:t xml:space="preserve"> describing th</w:t>
      </w:r>
      <w:r w:rsidR="005F3CEA">
        <w:t>e</w:t>
      </w:r>
      <w:r>
        <w:t xml:space="preserve"> </w:t>
      </w:r>
      <w:r w:rsidR="005F3CEA">
        <w:t xml:space="preserve">production of </w:t>
      </w:r>
      <w:r w:rsidR="005F3CEA" w:rsidRPr="00BA59EF">
        <w:rPr>
          <w:vertAlign w:val="superscript"/>
        </w:rPr>
        <w:t>23</w:t>
      </w:r>
      <w:r w:rsidR="004D375A">
        <w:rPr>
          <w:vertAlign w:val="superscript"/>
        </w:rPr>
        <w:t>3</w:t>
      </w:r>
      <w:r w:rsidR="004D375A">
        <w:t>U</w:t>
      </w:r>
      <w:r w:rsidR="005F3CEA" w:rsidRPr="00BA59EF">
        <w:rPr>
          <w:vertAlign w:val="superscript"/>
        </w:rPr>
        <w:t xml:space="preserve"> </w:t>
      </w:r>
      <w:r w:rsidR="005F3CEA" w:rsidRPr="005F3CEA">
        <w:t>from</w:t>
      </w:r>
      <w:r w:rsidR="005F3CEA">
        <w:rPr>
          <w:vertAlign w:val="superscript"/>
        </w:rPr>
        <w:t xml:space="preserve"> </w:t>
      </w:r>
      <w:r w:rsidR="00BA59EF" w:rsidRPr="00BA59EF">
        <w:rPr>
          <w:vertAlign w:val="superscript"/>
        </w:rPr>
        <w:t>23</w:t>
      </w:r>
      <w:r w:rsidR="004D375A">
        <w:rPr>
          <w:vertAlign w:val="superscript"/>
        </w:rPr>
        <w:t>2</w:t>
      </w:r>
      <w:r w:rsidR="004D375A">
        <w:t>Th</w:t>
      </w:r>
      <w:r>
        <w:t>.</w:t>
      </w:r>
    </w:p>
    <w:p w:rsidR="003D3752" w:rsidRDefault="003D3752" w:rsidP="003D3752"/>
    <w:p w:rsidR="003D3752" w:rsidRDefault="004D375A" w:rsidP="003D3752">
      <w:pPr>
        <w:jc w:val="center"/>
      </w:pPr>
      <w:r w:rsidRPr="00706603">
        <w:rPr>
          <w:position w:val="-98"/>
        </w:rPr>
        <w:object w:dxaOrig="5640" w:dyaOrig="1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pt;height:93pt" o:ole="">
            <v:imagedata r:id="rId9" o:title=""/>
          </v:shape>
          <o:OLEObject Type="Embed" ProgID="Equation.DSMT4" ShapeID="_x0000_i1025" DrawAspect="Content" ObjectID="_1361353735" r:id="rId10"/>
        </w:object>
      </w:r>
    </w:p>
    <w:p w:rsidR="003D3752" w:rsidRDefault="003D3752" w:rsidP="003D3752"/>
    <w:p w:rsidR="000758AF" w:rsidRDefault="000758AF" w:rsidP="0030495F">
      <w:pPr>
        <w:pStyle w:val="ListParagraph"/>
        <w:numPr>
          <w:ilvl w:val="0"/>
          <w:numId w:val="1"/>
        </w:numPr>
      </w:pPr>
      <w:r>
        <w:t xml:space="preserve">During the production of </w:t>
      </w:r>
      <w:r w:rsidRPr="00CF15DC">
        <w:rPr>
          <w:vertAlign w:val="superscript"/>
        </w:rPr>
        <w:t>233</w:t>
      </w:r>
      <w:r>
        <w:t xml:space="preserve">U, </w:t>
      </w:r>
      <w:r w:rsidRPr="00CF15DC">
        <w:rPr>
          <w:vertAlign w:val="superscript"/>
        </w:rPr>
        <w:t>232</w:t>
      </w:r>
      <w:r>
        <w:t xml:space="preserve">U is also produced by a variety of nuclear reactions in the core. </w:t>
      </w:r>
      <w:r w:rsidR="00212DD6">
        <w:t xml:space="preserve">Use the interactive Nuclide Chart </w:t>
      </w:r>
      <w:r w:rsidR="003201E5">
        <w:t>(</w:t>
      </w:r>
      <w:hyperlink r:id="rId11" w:history="1">
        <w:r w:rsidR="003201E5" w:rsidRPr="00D36FCC">
          <w:rPr>
            <w:rStyle w:val="Hyperlink"/>
          </w:rPr>
          <w:t>http://www-nds.iaea.org/relnsd/vchart/index.html</w:t>
        </w:r>
      </w:hyperlink>
      <w:r w:rsidR="003201E5">
        <w:t xml:space="preserve">) </w:t>
      </w:r>
      <w:r w:rsidR="00212DD6">
        <w:t xml:space="preserve">to </w:t>
      </w:r>
      <w:r>
        <w:t>explore</w:t>
      </w:r>
      <w:r w:rsidR="00212DD6">
        <w:t xml:space="preserve"> the </w:t>
      </w:r>
      <w:r>
        <w:t xml:space="preserve">decay chain for </w:t>
      </w:r>
      <w:r w:rsidRPr="000758AF">
        <w:rPr>
          <w:vertAlign w:val="superscript"/>
        </w:rPr>
        <w:t>232</w:t>
      </w:r>
      <w:r>
        <w:t>U.</w:t>
      </w:r>
    </w:p>
    <w:p w:rsidR="003D3752" w:rsidRDefault="0039553E" w:rsidP="000758AF">
      <w:pPr>
        <w:pStyle w:val="ListParagraph"/>
        <w:numPr>
          <w:ilvl w:val="1"/>
          <w:numId w:val="1"/>
        </w:numPr>
        <w:ind w:left="1080"/>
      </w:pPr>
      <w:r>
        <w:t xml:space="preserve">What </w:t>
      </w:r>
      <w:r w:rsidR="000758AF">
        <w:t>is the primary mode of decay in this chain</w:t>
      </w:r>
      <w:r>
        <w:t>?</w:t>
      </w:r>
    </w:p>
    <w:p w:rsidR="000758AF" w:rsidRDefault="000758AF" w:rsidP="000758AF"/>
    <w:p w:rsidR="000758AF" w:rsidRPr="000758AF" w:rsidRDefault="000758AF" w:rsidP="000758AF">
      <w:pPr>
        <w:jc w:val="center"/>
        <w:rPr>
          <w:b/>
          <w:color w:val="FF0000"/>
        </w:rPr>
      </w:pPr>
      <w:r w:rsidRPr="000758AF">
        <w:rPr>
          <w:b/>
          <w:color w:val="FF0000"/>
        </w:rPr>
        <w:t>alpha decay</w:t>
      </w:r>
    </w:p>
    <w:p w:rsidR="000758AF" w:rsidRDefault="000758AF" w:rsidP="000758AF"/>
    <w:p w:rsidR="000758AF" w:rsidRDefault="000758AF" w:rsidP="000758AF"/>
    <w:p w:rsidR="000758AF" w:rsidRDefault="000758AF" w:rsidP="000758AF">
      <w:pPr>
        <w:pStyle w:val="ListParagraph"/>
        <w:numPr>
          <w:ilvl w:val="1"/>
          <w:numId w:val="1"/>
        </w:numPr>
        <w:ind w:left="1080"/>
      </w:pPr>
      <w:r>
        <w:t>What is the final stable isotope of the decay series?</w:t>
      </w:r>
    </w:p>
    <w:p w:rsidR="00CF15DC" w:rsidRDefault="00CF15DC" w:rsidP="00CF15DC"/>
    <w:p w:rsidR="00CF15DC" w:rsidRPr="000758AF" w:rsidRDefault="00CF15DC" w:rsidP="00CF15DC">
      <w:pPr>
        <w:jc w:val="center"/>
        <w:rPr>
          <w:b/>
          <w:color w:val="FF0000"/>
        </w:rPr>
      </w:pPr>
      <w:r w:rsidRPr="000758AF">
        <w:rPr>
          <w:b/>
          <w:color w:val="FF0000"/>
          <w:vertAlign w:val="superscript"/>
        </w:rPr>
        <w:t>208</w:t>
      </w:r>
      <w:r w:rsidRPr="000758AF">
        <w:rPr>
          <w:b/>
          <w:color w:val="FF0000"/>
        </w:rPr>
        <w:t>Pb</w:t>
      </w:r>
    </w:p>
    <w:p w:rsidR="00CF15DC" w:rsidRDefault="00CF15DC" w:rsidP="00CF15DC"/>
    <w:p w:rsidR="00CF15DC" w:rsidRDefault="00CF15DC" w:rsidP="000758AF">
      <w:pPr>
        <w:pStyle w:val="ListParagraph"/>
        <w:numPr>
          <w:ilvl w:val="1"/>
          <w:numId w:val="1"/>
        </w:numPr>
        <w:ind w:left="1080"/>
      </w:pPr>
      <w:r>
        <w:t>Write out the entire decay chain.</w:t>
      </w:r>
    </w:p>
    <w:p w:rsidR="00CF15DC" w:rsidRDefault="00CF15DC" w:rsidP="00CF15DC"/>
    <w:p w:rsidR="00CF15DC" w:rsidRDefault="00CF15DC" w:rsidP="00CF15DC"/>
    <w:p w:rsidR="00CF15DC" w:rsidRDefault="00CF15DC" w:rsidP="00CF15DC"/>
    <w:p w:rsidR="00CF15DC" w:rsidRDefault="00CF15DC" w:rsidP="00CF15DC"/>
    <w:p w:rsidR="00CF15DC" w:rsidRDefault="00CF15DC" w:rsidP="00CF15DC"/>
    <w:p w:rsidR="00CF15DC" w:rsidRDefault="00CF15DC" w:rsidP="00CF15DC"/>
    <w:p w:rsidR="00CF15DC" w:rsidRDefault="00CF15DC" w:rsidP="00CF15DC"/>
    <w:p w:rsidR="00CF15DC" w:rsidRDefault="00CF15DC" w:rsidP="00CF15DC"/>
    <w:p w:rsidR="00CF15DC" w:rsidRDefault="00CF15DC" w:rsidP="00CF15DC"/>
    <w:p w:rsidR="000758AF" w:rsidRDefault="000758AF" w:rsidP="000758AF">
      <w:pPr>
        <w:pStyle w:val="ListParagraph"/>
        <w:numPr>
          <w:ilvl w:val="1"/>
          <w:numId w:val="1"/>
        </w:numPr>
        <w:ind w:left="1080"/>
      </w:pPr>
      <w:r>
        <w:t xml:space="preserve">Find </w:t>
      </w:r>
      <w:r w:rsidRPr="000758AF">
        <w:rPr>
          <w:position w:val="-12"/>
        </w:rPr>
        <w:object w:dxaOrig="320" w:dyaOrig="380">
          <v:shape id="_x0000_i1026" type="#_x0000_t75" style="width:15.75pt;height:18.75pt" o:ole="">
            <v:imagedata r:id="rId12" o:title=""/>
          </v:shape>
          <o:OLEObject Type="Embed" ProgID="Equation.DSMT4" ShapeID="_x0000_i1026" DrawAspect="Content" ObjectID="_1361353736" r:id="rId13"/>
        </w:object>
      </w:r>
      <w:r>
        <w:t>Tl in the decay chain. This isotope has a half-life of 3 minutes and emits high-energy gamma rays (2.6 MeV</w:t>
      </w:r>
      <w:r w:rsidR="00CF15DC">
        <w:t>)</w:t>
      </w:r>
      <w:r>
        <w:t>. The intense radiation from this as well as other intermediate products in this decay cha</w:t>
      </w:r>
      <w:r w:rsidR="00CF15DC">
        <w:t xml:space="preserve">in damage electronics. Thus, since 232U cannot be separated chemically from </w:t>
      </w:r>
      <w:r w:rsidR="00CF15DC" w:rsidRPr="00CF15DC">
        <w:rPr>
          <w:vertAlign w:val="superscript"/>
        </w:rPr>
        <w:t>233</w:t>
      </w:r>
      <w:r w:rsidR="00CF15DC">
        <w:t>U, the risk of unauthorized use in nuclear weapons is less.</w:t>
      </w:r>
    </w:p>
    <w:p w:rsidR="001C0E7E" w:rsidRDefault="001C0E7E" w:rsidP="001C0E7E"/>
    <w:p w:rsidR="0039553E" w:rsidRDefault="0039553E" w:rsidP="001C0E7E"/>
    <w:p w:rsidR="0039553E" w:rsidRDefault="0039553E" w:rsidP="001C0E7E"/>
    <w:sectPr w:rsidR="0039553E" w:rsidSect="001F15F8">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69B" w:rsidRDefault="00B5669B" w:rsidP="00EC0A26">
      <w:pPr>
        <w:spacing w:line="240" w:lineRule="auto"/>
      </w:pPr>
      <w:r>
        <w:separator/>
      </w:r>
    </w:p>
  </w:endnote>
  <w:endnote w:type="continuationSeparator" w:id="0">
    <w:p w:rsidR="00B5669B" w:rsidRDefault="00B5669B" w:rsidP="00EC0A2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A26" w:rsidRDefault="00594795">
    <w:pPr>
      <w:pStyle w:val="Footer"/>
    </w:pPr>
    <w:r w:rsidRPr="00B71958">
      <w:rPr>
        <w:sz w:val="16"/>
        <w:szCs w:val="16"/>
      </w:rPr>
      <w:fldChar w:fldCharType="begin"/>
    </w:r>
    <w:r w:rsidR="00EC0A26" w:rsidRPr="00B71958">
      <w:rPr>
        <w:sz w:val="16"/>
        <w:szCs w:val="16"/>
      </w:rPr>
      <w:instrText xml:space="preserve"> DATE \@ "d-MMM-yy" </w:instrText>
    </w:r>
    <w:r w:rsidRPr="00B71958">
      <w:rPr>
        <w:sz w:val="16"/>
        <w:szCs w:val="16"/>
      </w:rPr>
      <w:fldChar w:fldCharType="separate"/>
    </w:r>
    <w:r w:rsidR="00A04BEB">
      <w:rPr>
        <w:noProof/>
        <w:sz w:val="16"/>
        <w:szCs w:val="16"/>
      </w:rPr>
      <w:t>11-Mar-11</w:t>
    </w:r>
    <w:r w:rsidRPr="00B71958">
      <w:rPr>
        <w:sz w:val="16"/>
        <w:szCs w:val="16"/>
      </w:rPr>
      <w:fldChar w:fldCharType="end"/>
    </w:r>
    <w:r w:rsidR="00EC0A26">
      <w:rPr>
        <w:sz w:val="16"/>
        <w:szCs w:val="16"/>
      </w:rPr>
      <w:tab/>
    </w:r>
    <w:r w:rsidR="001E0BDE">
      <w:rPr>
        <w:sz w:val="16"/>
        <w:szCs w:val="16"/>
      </w:rPr>
      <w:t>The Alternative Thorium Fuel Cycle</w:t>
    </w:r>
    <w:r w:rsidR="00EC0A26" w:rsidRPr="00B71958">
      <w:rPr>
        <w:sz w:val="16"/>
        <w:szCs w:val="16"/>
      </w:rPr>
      <w:tab/>
    </w:r>
    <w:r w:rsidRPr="00B71958">
      <w:rPr>
        <w:rStyle w:val="PageNumber"/>
        <w:sz w:val="16"/>
        <w:szCs w:val="16"/>
      </w:rPr>
      <w:fldChar w:fldCharType="begin"/>
    </w:r>
    <w:r w:rsidR="00EC0A26" w:rsidRPr="00B71958">
      <w:rPr>
        <w:rStyle w:val="PageNumber"/>
        <w:sz w:val="16"/>
        <w:szCs w:val="16"/>
      </w:rPr>
      <w:instrText xml:space="preserve"> PAGE </w:instrText>
    </w:r>
    <w:r w:rsidRPr="00B71958">
      <w:rPr>
        <w:rStyle w:val="PageNumber"/>
        <w:sz w:val="16"/>
        <w:szCs w:val="16"/>
      </w:rPr>
      <w:fldChar w:fldCharType="separate"/>
    </w:r>
    <w:r w:rsidR="00A04BEB">
      <w:rPr>
        <w:rStyle w:val="PageNumber"/>
        <w:noProof/>
        <w:sz w:val="16"/>
        <w:szCs w:val="16"/>
      </w:rPr>
      <w:t>1</w:t>
    </w:r>
    <w:r w:rsidRPr="00B71958">
      <w:rPr>
        <w:rStyle w:val="PageNumber"/>
        <w:sz w:val="16"/>
        <w:szCs w:val="16"/>
      </w:rPr>
      <w:fldChar w:fldCharType="end"/>
    </w:r>
    <w:r w:rsidR="00EC0A26" w:rsidRPr="00B71958">
      <w:rPr>
        <w:rStyle w:val="PageNumber"/>
        <w:sz w:val="16"/>
        <w:szCs w:val="16"/>
      </w:rPr>
      <w:t xml:space="preserve"> of </w:t>
    </w:r>
    <w:r w:rsidRPr="00B71958">
      <w:rPr>
        <w:rStyle w:val="PageNumber"/>
        <w:sz w:val="16"/>
        <w:szCs w:val="16"/>
      </w:rPr>
      <w:fldChar w:fldCharType="begin"/>
    </w:r>
    <w:r w:rsidR="00EC0A26" w:rsidRPr="00B71958">
      <w:rPr>
        <w:rStyle w:val="PageNumber"/>
        <w:sz w:val="16"/>
        <w:szCs w:val="16"/>
      </w:rPr>
      <w:instrText xml:space="preserve"> NUMPAGES </w:instrText>
    </w:r>
    <w:r w:rsidRPr="00B71958">
      <w:rPr>
        <w:rStyle w:val="PageNumber"/>
        <w:sz w:val="16"/>
        <w:szCs w:val="16"/>
      </w:rPr>
      <w:fldChar w:fldCharType="separate"/>
    </w:r>
    <w:r w:rsidR="00A04BEB">
      <w:rPr>
        <w:rStyle w:val="PageNumber"/>
        <w:noProof/>
        <w:sz w:val="16"/>
        <w:szCs w:val="16"/>
      </w:rPr>
      <w:t>2</w:t>
    </w:r>
    <w:r w:rsidRPr="00B71958">
      <w:rPr>
        <w:rStyle w:val="PageNumbe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69B" w:rsidRDefault="00B5669B" w:rsidP="00EC0A26">
      <w:pPr>
        <w:spacing w:line="240" w:lineRule="auto"/>
      </w:pPr>
      <w:r>
        <w:separator/>
      </w:r>
    </w:p>
  </w:footnote>
  <w:footnote w:type="continuationSeparator" w:id="0">
    <w:p w:rsidR="00B5669B" w:rsidRDefault="00B5669B" w:rsidP="00EC0A2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A26" w:rsidRDefault="00EC0A26" w:rsidP="00EC0A26">
    <w:pPr>
      <w:pStyle w:val="Header"/>
      <w:tabs>
        <w:tab w:val="clear" w:pos="4680"/>
      </w:tabs>
    </w:pPr>
    <w:r w:rsidRPr="00B71958">
      <w:rPr>
        <w:sz w:val="16"/>
        <w:szCs w:val="16"/>
      </w:rPr>
      <w:t>GEOL3650: Energy: A Geological Perspective</w:t>
    </w:r>
    <w:r w:rsidRPr="00B71958">
      <w:rPr>
        <w:sz w:val="16"/>
        <w:szCs w:val="16"/>
      </w:rPr>
      <w:tab/>
    </w:r>
    <w:r>
      <w:rPr>
        <w:sz w:val="16"/>
        <w:szCs w:val="16"/>
      </w:rPr>
      <w:t>Nuclear Power</w:t>
    </w:r>
    <w:r w:rsidRPr="00B71958">
      <w:rPr>
        <w:sz w:val="16"/>
        <w:szCs w:val="16"/>
      </w:rPr>
      <w:t xml:space="preserve">: </w:t>
    </w:r>
    <w:r>
      <w:rPr>
        <w:sz w:val="16"/>
        <w:szCs w:val="16"/>
      </w:rPr>
      <w:t>New Green Energy or Lasting Mistake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A7421"/>
    <w:multiLevelType w:val="hybridMultilevel"/>
    <w:tmpl w:val="D568B9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C0A26"/>
    <w:rsid w:val="000120E8"/>
    <w:rsid w:val="000428BE"/>
    <w:rsid w:val="00052786"/>
    <w:rsid w:val="0005433E"/>
    <w:rsid w:val="00056126"/>
    <w:rsid w:val="00056A97"/>
    <w:rsid w:val="00070B17"/>
    <w:rsid w:val="000758AF"/>
    <w:rsid w:val="00077C0D"/>
    <w:rsid w:val="00085643"/>
    <w:rsid w:val="00092A47"/>
    <w:rsid w:val="000A23E5"/>
    <w:rsid w:val="000B7AEE"/>
    <w:rsid w:val="000E2929"/>
    <w:rsid w:val="000E60A5"/>
    <w:rsid w:val="000F41D4"/>
    <w:rsid w:val="00112414"/>
    <w:rsid w:val="00130364"/>
    <w:rsid w:val="00135B87"/>
    <w:rsid w:val="00135C61"/>
    <w:rsid w:val="0016081C"/>
    <w:rsid w:val="00163A70"/>
    <w:rsid w:val="00166268"/>
    <w:rsid w:val="00166857"/>
    <w:rsid w:val="001777B7"/>
    <w:rsid w:val="00185BA1"/>
    <w:rsid w:val="00194244"/>
    <w:rsid w:val="001A39D6"/>
    <w:rsid w:val="001C0E7E"/>
    <w:rsid w:val="001C6E80"/>
    <w:rsid w:val="001D7B93"/>
    <w:rsid w:val="001E0272"/>
    <w:rsid w:val="001E0BDE"/>
    <w:rsid w:val="001E331F"/>
    <w:rsid w:val="001F15F8"/>
    <w:rsid w:val="00203321"/>
    <w:rsid w:val="00212DD6"/>
    <w:rsid w:val="002640F1"/>
    <w:rsid w:val="0027108F"/>
    <w:rsid w:val="002720CF"/>
    <w:rsid w:val="00276D00"/>
    <w:rsid w:val="002830AA"/>
    <w:rsid w:val="00283B5F"/>
    <w:rsid w:val="00292F94"/>
    <w:rsid w:val="002A66FF"/>
    <w:rsid w:val="002B02B9"/>
    <w:rsid w:val="002E50D0"/>
    <w:rsid w:val="002F76A3"/>
    <w:rsid w:val="0030495F"/>
    <w:rsid w:val="003201E5"/>
    <w:rsid w:val="00326AC5"/>
    <w:rsid w:val="00330F1B"/>
    <w:rsid w:val="0033138C"/>
    <w:rsid w:val="00337F87"/>
    <w:rsid w:val="0034444B"/>
    <w:rsid w:val="003614E5"/>
    <w:rsid w:val="00375182"/>
    <w:rsid w:val="0039553E"/>
    <w:rsid w:val="003C199D"/>
    <w:rsid w:val="003D3752"/>
    <w:rsid w:val="003E163B"/>
    <w:rsid w:val="003E25F6"/>
    <w:rsid w:val="003F2D15"/>
    <w:rsid w:val="003F5E0C"/>
    <w:rsid w:val="004117E0"/>
    <w:rsid w:val="00437602"/>
    <w:rsid w:val="00445E1E"/>
    <w:rsid w:val="00447361"/>
    <w:rsid w:val="00467239"/>
    <w:rsid w:val="00492DDD"/>
    <w:rsid w:val="004A5510"/>
    <w:rsid w:val="004A6397"/>
    <w:rsid w:val="004C4570"/>
    <w:rsid w:val="004D375A"/>
    <w:rsid w:val="0050113E"/>
    <w:rsid w:val="00511C7F"/>
    <w:rsid w:val="00516F15"/>
    <w:rsid w:val="00520D75"/>
    <w:rsid w:val="00533A70"/>
    <w:rsid w:val="00534A81"/>
    <w:rsid w:val="00550D7E"/>
    <w:rsid w:val="00554A7C"/>
    <w:rsid w:val="005565EB"/>
    <w:rsid w:val="00557958"/>
    <w:rsid w:val="0057453F"/>
    <w:rsid w:val="00576CE6"/>
    <w:rsid w:val="005853B1"/>
    <w:rsid w:val="0058554A"/>
    <w:rsid w:val="00592A2E"/>
    <w:rsid w:val="00592AED"/>
    <w:rsid w:val="00592E07"/>
    <w:rsid w:val="00594795"/>
    <w:rsid w:val="005A0DAF"/>
    <w:rsid w:val="005A706F"/>
    <w:rsid w:val="005B3679"/>
    <w:rsid w:val="005C2160"/>
    <w:rsid w:val="005D083F"/>
    <w:rsid w:val="005F3CEA"/>
    <w:rsid w:val="006001B5"/>
    <w:rsid w:val="00606E5B"/>
    <w:rsid w:val="00617890"/>
    <w:rsid w:val="006424FB"/>
    <w:rsid w:val="0064578E"/>
    <w:rsid w:val="0065243D"/>
    <w:rsid w:val="006536EE"/>
    <w:rsid w:val="00670951"/>
    <w:rsid w:val="0067192B"/>
    <w:rsid w:val="00672C3B"/>
    <w:rsid w:val="00683F18"/>
    <w:rsid w:val="00684DB2"/>
    <w:rsid w:val="006863AF"/>
    <w:rsid w:val="0069046C"/>
    <w:rsid w:val="00692AF8"/>
    <w:rsid w:val="0069784E"/>
    <w:rsid w:val="006A5E78"/>
    <w:rsid w:val="006B2CE1"/>
    <w:rsid w:val="006C770A"/>
    <w:rsid w:val="006E061C"/>
    <w:rsid w:val="006E1180"/>
    <w:rsid w:val="006E54D4"/>
    <w:rsid w:val="006F0181"/>
    <w:rsid w:val="006F242A"/>
    <w:rsid w:val="00700A04"/>
    <w:rsid w:val="00706603"/>
    <w:rsid w:val="00713EF9"/>
    <w:rsid w:val="007266B2"/>
    <w:rsid w:val="00753DFC"/>
    <w:rsid w:val="00764A5B"/>
    <w:rsid w:val="00775319"/>
    <w:rsid w:val="0078262E"/>
    <w:rsid w:val="00797CCC"/>
    <w:rsid w:val="007A09CB"/>
    <w:rsid w:val="007A499D"/>
    <w:rsid w:val="007A6571"/>
    <w:rsid w:val="007B16DA"/>
    <w:rsid w:val="007C4416"/>
    <w:rsid w:val="007D14B9"/>
    <w:rsid w:val="007D3D63"/>
    <w:rsid w:val="007E362E"/>
    <w:rsid w:val="007F7E7A"/>
    <w:rsid w:val="008064A6"/>
    <w:rsid w:val="0080668C"/>
    <w:rsid w:val="00815F52"/>
    <w:rsid w:val="00824925"/>
    <w:rsid w:val="0083301D"/>
    <w:rsid w:val="00835025"/>
    <w:rsid w:val="00871057"/>
    <w:rsid w:val="008B4458"/>
    <w:rsid w:val="008B45A9"/>
    <w:rsid w:val="008C1A96"/>
    <w:rsid w:val="008D0FA8"/>
    <w:rsid w:val="008E548B"/>
    <w:rsid w:val="00900D27"/>
    <w:rsid w:val="00900D78"/>
    <w:rsid w:val="00913ABF"/>
    <w:rsid w:val="00915EAB"/>
    <w:rsid w:val="00917430"/>
    <w:rsid w:val="009236CF"/>
    <w:rsid w:val="00935E15"/>
    <w:rsid w:val="00946D7D"/>
    <w:rsid w:val="009501A1"/>
    <w:rsid w:val="00952D57"/>
    <w:rsid w:val="00953852"/>
    <w:rsid w:val="00963A74"/>
    <w:rsid w:val="009728C6"/>
    <w:rsid w:val="009A3048"/>
    <w:rsid w:val="009A3674"/>
    <w:rsid w:val="009A43D5"/>
    <w:rsid w:val="009D595F"/>
    <w:rsid w:val="009E24D0"/>
    <w:rsid w:val="009F0C6E"/>
    <w:rsid w:val="00A03253"/>
    <w:rsid w:val="00A040D5"/>
    <w:rsid w:val="00A04BEB"/>
    <w:rsid w:val="00A52137"/>
    <w:rsid w:val="00A52E39"/>
    <w:rsid w:val="00A57A5A"/>
    <w:rsid w:val="00A702DB"/>
    <w:rsid w:val="00A719AF"/>
    <w:rsid w:val="00A81CF3"/>
    <w:rsid w:val="00AA2E71"/>
    <w:rsid w:val="00AB5D26"/>
    <w:rsid w:val="00AC1B4D"/>
    <w:rsid w:val="00AC1B59"/>
    <w:rsid w:val="00AE2EAE"/>
    <w:rsid w:val="00AF50E0"/>
    <w:rsid w:val="00AF519B"/>
    <w:rsid w:val="00B02C7F"/>
    <w:rsid w:val="00B02D27"/>
    <w:rsid w:val="00B05154"/>
    <w:rsid w:val="00B1366D"/>
    <w:rsid w:val="00B15247"/>
    <w:rsid w:val="00B15C17"/>
    <w:rsid w:val="00B32A93"/>
    <w:rsid w:val="00B337D1"/>
    <w:rsid w:val="00B341DE"/>
    <w:rsid w:val="00B370FC"/>
    <w:rsid w:val="00B42422"/>
    <w:rsid w:val="00B54557"/>
    <w:rsid w:val="00B54E53"/>
    <w:rsid w:val="00B5669B"/>
    <w:rsid w:val="00B648C4"/>
    <w:rsid w:val="00B747C3"/>
    <w:rsid w:val="00B80F80"/>
    <w:rsid w:val="00B97D57"/>
    <w:rsid w:val="00BA1A99"/>
    <w:rsid w:val="00BA59EF"/>
    <w:rsid w:val="00BA5F9C"/>
    <w:rsid w:val="00BA6DE8"/>
    <w:rsid w:val="00BA7D1E"/>
    <w:rsid w:val="00BB6828"/>
    <w:rsid w:val="00BC4BB0"/>
    <w:rsid w:val="00BF38C8"/>
    <w:rsid w:val="00C0249C"/>
    <w:rsid w:val="00C07197"/>
    <w:rsid w:val="00C153C8"/>
    <w:rsid w:val="00C162FB"/>
    <w:rsid w:val="00C4450D"/>
    <w:rsid w:val="00C448F9"/>
    <w:rsid w:val="00C514E5"/>
    <w:rsid w:val="00CA51D2"/>
    <w:rsid w:val="00CA682E"/>
    <w:rsid w:val="00CB6FF3"/>
    <w:rsid w:val="00CD6383"/>
    <w:rsid w:val="00CE13E5"/>
    <w:rsid w:val="00CF15DC"/>
    <w:rsid w:val="00CF1982"/>
    <w:rsid w:val="00D034C2"/>
    <w:rsid w:val="00D15CC7"/>
    <w:rsid w:val="00D3596E"/>
    <w:rsid w:val="00D417E6"/>
    <w:rsid w:val="00D516CF"/>
    <w:rsid w:val="00DC565A"/>
    <w:rsid w:val="00DF1214"/>
    <w:rsid w:val="00E00046"/>
    <w:rsid w:val="00E44D9C"/>
    <w:rsid w:val="00E5185E"/>
    <w:rsid w:val="00E6623E"/>
    <w:rsid w:val="00E701E4"/>
    <w:rsid w:val="00E73C1E"/>
    <w:rsid w:val="00E8568F"/>
    <w:rsid w:val="00E87085"/>
    <w:rsid w:val="00EC0A26"/>
    <w:rsid w:val="00ED702F"/>
    <w:rsid w:val="00ED7BBC"/>
    <w:rsid w:val="00EE1783"/>
    <w:rsid w:val="00EF101A"/>
    <w:rsid w:val="00EF75B0"/>
    <w:rsid w:val="00F1113B"/>
    <w:rsid w:val="00F2746A"/>
    <w:rsid w:val="00F36ED2"/>
    <w:rsid w:val="00F47BF8"/>
    <w:rsid w:val="00F60363"/>
    <w:rsid w:val="00F822F4"/>
    <w:rsid w:val="00F84285"/>
    <w:rsid w:val="00F849E8"/>
    <w:rsid w:val="00F866C0"/>
    <w:rsid w:val="00F86EDA"/>
    <w:rsid w:val="00F9005B"/>
    <w:rsid w:val="00F96101"/>
    <w:rsid w:val="00FA6827"/>
    <w:rsid w:val="00FB0F32"/>
    <w:rsid w:val="00FB2E3F"/>
    <w:rsid w:val="00FC1A36"/>
    <w:rsid w:val="00FC43A0"/>
    <w:rsid w:val="00FC6616"/>
    <w:rsid w:val="00FE31C1"/>
    <w:rsid w:val="00FF2420"/>
    <w:rsid w:val="00FF7F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A26"/>
    <w:pPr>
      <w:spacing w:after="0"/>
    </w:pPr>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C0A26"/>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C0A26"/>
    <w:rPr>
      <w:rFonts w:ascii="Verdana" w:hAnsi="Verdana"/>
      <w:sz w:val="20"/>
    </w:rPr>
  </w:style>
  <w:style w:type="paragraph" w:styleId="Footer">
    <w:name w:val="footer"/>
    <w:basedOn w:val="Normal"/>
    <w:link w:val="FooterChar"/>
    <w:uiPriority w:val="99"/>
    <w:unhideWhenUsed/>
    <w:rsid w:val="00EC0A26"/>
    <w:pPr>
      <w:tabs>
        <w:tab w:val="center" w:pos="4680"/>
        <w:tab w:val="right" w:pos="9360"/>
      </w:tabs>
      <w:spacing w:line="240" w:lineRule="auto"/>
    </w:pPr>
  </w:style>
  <w:style w:type="character" w:customStyle="1" w:styleId="FooterChar">
    <w:name w:val="Footer Char"/>
    <w:basedOn w:val="DefaultParagraphFont"/>
    <w:link w:val="Footer"/>
    <w:uiPriority w:val="99"/>
    <w:rsid w:val="00EC0A26"/>
    <w:rPr>
      <w:rFonts w:ascii="Verdana" w:hAnsi="Verdana"/>
      <w:sz w:val="20"/>
    </w:rPr>
  </w:style>
  <w:style w:type="paragraph" w:styleId="BalloonText">
    <w:name w:val="Balloon Text"/>
    <w:basedOn w:val="Normal"/>
    <w:link w:val="BalloonTextChar"/>
    <w:uiPriority w:val="99"/>
    <w:semiHidden/>
    <w:unhideWhenUsed/>
    <w:rsid w:val="00EC0A2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A26"/>
    <w:rPr>
      <w:rFonts w:ascii="Tahoma" w:hAnsi="Tahoma" w:cs="Tahoma"/>
      <w:sz w:val="16"/>
      <w:szCs w:val="16"/>
    </w:rPr>
  </w:style>
  <w:style w:type="character" w:styleId="PageNumber">
    <w:name w:val="page number"/>
    <w:basedOn w:val="DefaultParagraphFont"/>
    <w:rsid w:val="00EC0A26"/>
  </w:style>
  <w:style w:type="paragraph" w:styleId="ListParagraph">
    <w:name w:val="List Paragraph"/>
    <w:basedOn w:val="Normal"/>
    <w:uiPriority w:val="34"/>
    <w:qFormat/>
    <w:rsid w:val="0030495F"/>
    <w:pPr>
      <w:ind w:left="720"/>
      <w:contextualSpacing/>
    </w:pPr>
  </w:style>
  <w:style w:type="character" w:styleId="Hyperlink">
    <w:name w:val="Hyperlink"/>
    <w:basedOn w:val="DefaultParagraphFont"/>
    <w:uiPriority w:val="99"/>
    <w:unhideWhenUsed/>
    <w:rsid w:val="003201E5"/>
    <w:rPr>
      <w:color w:val="0000FF" w:themeColor="hyperlink"/>
      <w:u w:val="single"/>
    </w:rPr>
  </w:style>
  <w:style w:type="character" w:styleId="FollowedHyperlink">
    <w:name w:val="FollowedHyperlink"/>
    <w:basedOn w:val="DefaultParagraphFont"/>
    <w:uiPriority w:val="99"/>
    <w:semiHidden/>
    <w:unhideWhenUsed/>
    <w:rsid w:val="0069046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oleObject" Target="embeddings/oleObject2.bin"/><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ds.iaea.org/relnsd/vchart/index.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Carleton College</Company>
  <LinksUpToDate>false</LinksUpToDate>
  <CharactersWithSpaces>2262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D. Myers</dc:creator>
  <cp:lastModifiedBy>kkirk</cp:lastModifiedBy>
  <cp:revision>2</cp:revision>
  <cp:lastPrinted>2010-11-01T03:02:00Z</cp:lastPrinted>
  <dcterms:created xsi:type="dcterms:W3CDTF">2011-03-11T20:02:00Z</dcterms:created>
  <dcterms:modified xsi:type="dcterms:W3CDTF">2011-03-11T20:02:00Z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