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A7" w:rsidRPr="00316BA7" w:rsidRDefault="00316BA7" w:rsidP="0031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A7">
        <w:rPr>
          <w:rFonts w:ascii="Times New Roman" w:hAnsi="Times New Roman" w:cs="Times New Roman"/>
          <w:b/>
          <w:sz w:val="28"/>
          <w:szCs w:val="28"/>
        </w:rPr>
        <w:t>Selected literature about teams in and outside of higher education:</w:t>
      </w:r>
    </w:p>
    <w:p w:rsidR="00316BA7" w:rsidRPr="00316BA7" w:rsidRDefault="00316BA7" w:rsidP="00316BA7">
      <w:pPr>
        <w:rPr>
          <w:rFonts w:ascii="Times New Roman" w:hAnsi="Times New Roman" w:cs="Times New Roman"/>
        </w:rPr>
      </w:pP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Corbo</w:t>
      </w:r>
      <w:proofErr w:type="spellEnd"/>
      <w:r w:rsidRPr="00316BA7">
        <w:rPr>
          <w:rStyle w:val="normaltextrun"/>
          <w:color w:val="000000"/>
          <w:position w:val="2"/>
        </w:rPr>
        <w:t xml:space="preserve">, J. C., </w:t>
      </w:r>
      <w:proofErr w:type="spellStart"/>
      <w:r w:rsidRPr="00316BA7">
        <w:rPr>
          <w:rStyle w:val="normaltextrun"/>
          <w:color w:val="000000"/>
          <w:position w:val="2"/>
        </w:rPr>
        <w:t>Reinholz</w:t>
      </w:r>
      <w:proofErr w:type="spellEnd"/>
      <w:r w:rsidRPr="00316BA7">
        <w:rPr>
          <w:rStyle w:val="normaltextrun"/>
          <w:color w:val="000000"/>
          <w:position w:val="2"/>
        </w:rPr>
        <w:t xml:space="preserve">, D. L., Dancy, M. H., Deetz, S., &amp; Finkelstein, N. (2016). A Framework </w:t>
      </w:r>
      <w:bookmarkStart w:id="0" w:name="_GoBack"/>
      <w:bookmarkEnd w:id="0"/>
      <w:r w:rsidRPr="00316BA7">
        <w:rPr>
          <w:rStyle w:val="normaltextrun"/>
          <w:color w:val="000000"/>
          <w:position w:val="2"/>
        </w:rPr>
        <w:t>for Transforming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color w:val="000000"/>
          <w:position w:val="2"/>
        </w:rPr>
        <w:t>Departmental Culture to Support Educational Innovation.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Physical Review - Physics Education Research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12</w:t>
      </w:r>
      <w:r w:rsidRPr="00316BA7">
        <w:rPr>
          <w:rStyle w:val="normaltextrun"/>
          <w:color w:val="000000"/>
          <w:position w:val="2"/>
        </w:rPr>
        <w:t>(1), 10113.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r w:rsidRPr="00316BA7">
        <w:rPr>
          <w:rStyle w:val="normaltextrun"/>
          <w:color w:val="000000"/>
          <w:position w:val="2"/>
        </w:rPr>
        <w:t xml:space="preserve">Gast, I., </w:t>
      </w:r>
      <w:proofErr w:type="spellStart"/>
      <w:r w:rsidRPr="00316BA7">
        <w:rPr>
          <w:rStyle w:val="normaltextrun"/>
          <w:color w:val="000000"/>
          <w:position w:val="2"/>
        </w:rPr>
        <w:t>Schildkamp</w:t>
      </w:r>
      <w:proofErr w:type="spellEnd"/>
      <w:r w:rsidRPr="00316BA7">
        <w:rPr>
          <w:rStyle w:val="normaltextrun"/>
          <w:color w:val="000000"/>
          <w:position w:val="2"/>
        </w:rPr>
        <w:t>, K., &amp; Veen, J. T. Van Der. (2017). Team-Based Professional Development Interventions in Higher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color w:val="000000"/>
          <w:position w:val="2"/>
        </w:rPr>
        <w:t>Education : A Systematic Review.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Review of Educational Research Month 201X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87</w:t>
      </w:r>
      <w:r w:rsidRPr="00316BA7">
        <w:rPr>
          <w:rStyle w:val="normaltextrun"/>
          <w:color w:val="000000"/>
          <w:position w:val="2"/>
        </w:rPr>
        <w:t>(4), 736–767.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Gehrke</w:t>
      </w:r>
      <w:proofErr w:type="spellEnd"/>
      <w:r w:rsidRPr="00316BA7">
        <w:rPr>
          <w:rStyle w:val="normaltextrun"/>
          <w:color w:val="000000"/>
          <w:position w:val="2"/>
        </w:rPr>
        <w:t xml:space="preserve">, S., &amp; </w:t>
      </w:r>
      <w:proofErr w:type="spellStart"/>
      <w:r w:rsidRPr="00316BA7">
        <w:rPr>
          <w:rStyle w:val="normaltextrun"/>
          <w:color w:val="000000"/>
          <w:position w:val="2"/>
        </w:rPr>
        <w:t>Kezar</w:t>
      </w:r>
      <w:proofErr w:type="spellEnd"/>
      <w:r w:rsidRPr="00316BA7">
        <w:rPr>
          <w:rStyle w:val="normaltextrun"/>
          <w:color w:val="000000"/>
          <w:position w:val="2"/>
        </w:rPr>
        <w:t>, A. (2017). The Roles of STEM Faculty Communities of Practice in Institutional and Departmental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color w:val="000000"/>
          <w:position w:val="2"/>
        </w:rPr>
        <w:t>Reform in Higher Education.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American Educational Research Journal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54</w:t>
      </w:r>
      <w:r w:rsidRPr="00316BA7">
        <w:rPr>
          <w:rStyle w:val="normaltextrun"/>
          <w:color w:val="000000"/>
          <w:position w:val="2"/>
        </w:rPr>
        <w:t>(5), 803–833.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r w:rsidRPr="00316BA7">
        <w:rPr>
          <w:rStyle w:val="normaltextrun"/>
          <w:color w:val="000000"/>
          <w:position w:val="2"/>
        </w:rPr>
        <w:t>Henderson, C., Beach, A., &amp; Finkelstein, N. (2011). Facilitating change in undergraduate STEM instructional practices: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color w:val="000000"/>
          <w:position w:val="2"/>
        </w:rPr>
        <w:t>An analytic review of the literature.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Journal of Research in Science Teaching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48</w:t>
      </w:r>
      <w:r w:rsidRPr="00316BA7">
        <w:rPr>
          <w:rStyle w:val="normaltextrun"/>
          <w:color w:val="000000"/>
          <w:position w:val="2"/>
        </w:rPr>
        <w:t>(8), 952–984.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Ilgen</w:t>
      </w:r>
      <w:proofErr w:type="spellEnd"/>
      <w:r w:rsidRPr="00316BA7">
        <w:rPr>
          <w:rStyle w:val="normaltextrun"/>
          <w:color w:val="000000"/>
          <w:position w:val="2"/>
        </w:rPr>
        <w:t xml:space="preserve">, D. R., Hollenbeck, J. R., Johnson, M., &amp; </w:t>
      </w:r>
      <w:proofErr w:type="spellStart"/>
      <w:r w:rsidRPr="00316BA7">
        <w:rPr>
          <w:rStyle w:val="normaltextrun"/>
          <w:color w:val="000000"/>
          <w:position w:val="2"/>
        </w:rPr>
        <w:t>Jundt</w:t>
      </w:r>
      <w:proofErr w:type="spellEnd"/>
      <w:r w:rsidRPr="00316BA7">
        <w:rPr>
          <w:rStyle w:val="normaltextrun"/>
          <w:color w:val="000000"/>
          <w:position w:val="2"/>
        </w:rPr>
        <w:t>, D. (2005). Teams in Organizations: From Input-Process-Output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color w:val="000000"/>
          <w:position w:val="2"/>
        </w:rPr>
        <w:t>Models to IMOI Models.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Annual Review of Psychology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56</w:t>
      </w:r>
      <w:r w:rsidRPr="00316BA7">
        <w:rPr>
          <w:rStyle w:val="normaltextrun"/>
          <w:color w:val="000000"/>
          <w:position w:val="2"/>
        </w:rPr>
        <w:t>(1), 517–543.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Jehn</w:t>
      </w:r>
      <w:proofErr w:type="spellEnd"/>
      <w:r w:rsidRPr="00316BA7">
        <w:rPr>
          <w:rStyle w:val="normaltextrun"/>
          <w:color w:val="000000"/>
          <w:position w:val="2"/>
        </w:rPr>
        <w:t xml:space="preserve">, K. A., </w:t>
      </w:r>
      <w:proofErr w:type="spellStart"/>
      <w:r w:rsidRPr="00316BA7">
        <w:rPr>
          <w:rStyle w:val="normaltextrun"/>
          <w:color w:val="000000"/>
          <w:position w:val="2"/>
        </w:rPr>
        <w:t>Northcraft</w:t>
      </w:r>
      <w:proofErr w:type="spellEnd"/>
      <w:r w:rsidRPr="00316BA7">
        <w:rPr>
          <w:rStyle w:val="normaltextrun"/>
          <w:color w:val="000000"/>
          <w:position w:val="2"/>
        </w:rPr>
        <w:t>, G. B., &amp; Neale, M. A. (1999). Why Differences Make a Difference: A Field Study of Diversity,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color w:val="000000"/>
          <w:position w:val="2"/>
        </w:rPr>
        <w:t>Conflict, and Performance in Workgroups.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Administrative Science Quarterly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44</w:t>
      </w:r>
      <w:r w:rsidRPr="00316BA7">
        <w:rPr>
          <w:rStyle w:val="normaltextrun"/>
          <w:color w:val="000000"/>
          <w:position w:val="2"/>
        </w:rPr>
        <w:t>(4), 741.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Karlgaard</w:t>
      </w:r>
      <w:proofErr w:type="spellEnd"/>
      <w:r w:rsidRPr="00316BA7">
        <w:rPr>
          <w:rStyle w:val="normaltextrun"/>
          <w:color w:val="000000"/>
          <w:position w:val="2"/>
        </w:rPr>
        <w:t>, R., &amp; Malone, M. S. (2015).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Team genius: The new science of high-performing teams</w:t>
      </w:r>
      <w:r w:rsidRPr="00316BA7">
        <w:rPr>
          <w:rStyle w:val="normaltextrun"/>
          <w:color w:val="000000"/>
          <w:position w:val="2"/>
        </w:rPr>
        <w:t>. HarperCollins.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r w:rsidRPr="00316BA7">
        <w:rPr>
          <w:rStyle w:val="normaltextrun"/>
          <w:color w:val="000000"/>
          <w:position w:val="2"/>
        </w:rPr>
        <w:t>Katzenbach, J. R., &amp; Smith, D. K. (1993). The Discipline of Teams.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Harvard Business Review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71</w:t>
      </w:r>
      <w:r w:rsidRPr="00316BA7">
        <w:rPr>
          <w:rStyle w:val="normaltextrun"/>
          <w:color w:val="000000"/>
          <w:position w:val="2"/>
        </w:rPr>
        <w:t>(2), 111–120.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r w:rsidRPr="00316BA7">
        <w:rPr>
          <w:rStyle w:val="normaltextrun"/>
          <w:color w:val="000000"/>
          <w:position w:val="2"/>
        </w:rPr>
        <w:lastRenderedPageBreak/>
        <w:t>Mannix, E., &amp; Neale, M. A. (2005). What Differences Make a Difference?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Psychological Science in the Public Interest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6</w:t>
      </w:r>
      <w:r w:rsidRPr="00316BA7">
        <w:rPr>
          <w:rStyle w:val="normaltextrun"/>
          <w:color w:val="000000"/>
          <w:position w:val="2"/>
        </w:rPr>
        <w:t>(2), 31–55.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r w:rsidRPr="00316BA7">
        <w:rPr>
          <w:rStyle w:val="normaltextrun"/>
          <w:color w:val="000000"/>
          <w:position w:val="2"/>
        </w:rPr>
        <w:t xml:space="preserve">Marks, M. A., Mathieu, J. E., &amp; </w:t>
      </w:r>
      <w:proofErr w:type="spellStart"/>
      <w:r w:rsidRPr="00316BA7">
        <w:rPr>
          <w:rStyle w:val="normaltextrun"/>
          <w:color w:val="000000"/>
          <w:position w:val="2"/>
        </w:rPr>
        <w:t>Zaccaro</w:t>
      </w:r>
      <w:proofErr w:type="spellEnd"/>
      <w:r w:rsidRPr="00316BA7">
        <w:rPr>
          <w:rStyle w:val="normaltextrun"/>
          <w:color w:val="000000"/>
          <w:position w:val="2"/>
        </w:rPr>
        <w:t>, S. (2001). A Temporally Based Framework and Taxonomy of Team Processes.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Academy of Management Review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26</w:t>
      </w:r>
      <w:r w:rsidRPr="00316BA7">
        <w:rPr>
          <w:rStyle w:val="normaltextrun"/>
          <w:color w:val="000000"/>
          <w:position w:val="2"/>
        </w:rPr>
        <w:t>(3), 356–376.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Reinholz</w:t>
      </w:r>
      <w:proofErr w:type="spellEnd"/>
      <w:r w:rsidRPr="00316BA7">
        <w:rPr>
          <w:rStyle w:val="normaltextrun"/>
          <w:color w:val="000000"/>
          <w:position w:val="2"/>
        </w:rPr>
        <w:t xml:space="preserve">, D. L., &amp; </w:t>
      </w:r>
      <w:proofErr w:type="spellStart"/>
      <w:r w:rsidRPr="00316BA7">
        <w:rPr>
          <w:rStyle w:val="normaltextrun"/>
          <w:color w:val="000000"/>
          <w:position w:val="2"/>
        </w:rPr>
        <w:t>Apkarian</w:t>
      </w:r>
      <w:proofErr w:type="spellEnd"/>
      <w:r w:rsidRPr="00316BA7">
        <w:rPr>
          <w:rStyle w:val="normaltextrun"/>
          <w:color w:val="000000"/>
          <w:position w:val="2"/>
        </w:rPr>
        <w:t>, N. (2018). Four frames for systemic change in STEM departments.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International Journal of</w:t>
      </w:r>
      <w:r w:rsidRPr="00316BA7">
        <w:rPr>
          <w:rStyle w:val="apple-converted-space"/>
          <w:i/>
          <w:iCs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STEM Education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5</w:t>
      </w:r>
      <w:r w:rsidRPr="00316BA7">
        <w:rPr>
          <w:rStyle w:val="normaltextrun"/>
          <w:color w:val="000000"/>
          <w:position w:val="2"/>
        </w:rPr>
        <w:t>(1), 3.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proofErr w:type="spellStart"/>
      <w:r w:rsidRPr="00316BA7">
        <w:rPr>
          <w:rStyle w:val="normaltextrun"/>
          <w:color w:val="000000"/>
          <w:position w:val="2"/>
        </w:rPr>
        <w:t>Wageman</w:t>
      </w:r>
      <w:proofErr w:type="spellEnd"/>
      <w:r w:rsidRPr="00316BA7">
        <w:rPr>
          <w:rStyle w:val="normaltextrun"/>
          <w:color w:val="000000"/>
          <w:position w:val="2"/>
        </w:rPr>
        <w:t>, R., Hackman, J. R., &amp; Lehman, E. (2005). Team Diagnostic Survey.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The Journal of Applied Behavior Science</w:t>
      </w:r>
      <w:r w:rsidRPr="00316BA7">
        <w:rPr>
          <w:rStyle w:val="normaltextrun"/>
          <w:color w:val="000000"/>
          <w:position w:val="2"/>
        </w:rPr>
        <w:t>,</w:t>
      </w:r>
      <w:r w:rsidRPr="00316BA7">
        <w:rPr>
          <w:rStyle w:val="apple-converted-space"/>
          <w:color w:val="000000"/>
          <w:position w:val="2"/>
        </w:rPr>
        <w:t> </w:t>
      </w:r>
      <w:r w:rsidRPr="00316BA7">
        <w:rPr>
          <w:rStyle w:val="normaltextrun"/>
          <w:i/>
          <w:iCs/>
          <w:color w:val="000000"/>
          <w:position w:val="2"/>
        </w:rPr>
        <w:t>41</w:t>
      </w:r>
      <w:r w:rsidRPr="00316BA7">
        <w:rPr>
          <w:rStyle w:val="normaltextrun"/>
          <w:color w:val="000000"/>
          <w:position w:val="2"/>
        </w:rPr>
        <w:t>(4). </w:t>
      </w:r>
      <w:r w:rsidRPr="00316BA7">
        <w:rPr>
          <w:rStyle w:val="eop"/>
        </w:rPr>
        <w:t>​</w:t>
      </w:r>
    </w:p>
    <w:p w:rsidR="00316BA7" w:rsidRPr="00316BA7" w:rsidRDefault="00316BA7" w:rsidP="00316BA7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316BA7">
        <w:rPr>
          <w:rStyle w:val="normaltextrun"/>
          <w:rFonts w:ascii="Times New Roman" w:hAnsi="Times New Roman" w:cs="Times New Roman"/>
          <w:color w:val="000000"/>
          <w:position w:val="2"/>
        </w:rPr>
        <w:t xml:space="preserve">Woolley, A. W., </w:t>
      </w:r>
      <w:proofErr w:type="spellStart"/>
      <w:r w:rsidRPr="00316BA7">
        <w:rPr>
          <w:rStyle w:val="normaltextrun"/>
          <w:rFonts w:ascii="Times New Roman" w:hAnsi="Times New Roman" w:cs="Times New Roman"/>
          <w:color w:val="000000"/>
          <w:position w:val="2"/>
        </w:rPr>
        <w:t>Chabris</w:t>
      </w:r>
      <w:proofErr w:type="spellEnd"/>
      <w:r w:rsidRPr="00316BA7">
        <w:rPr>
          <w:rStyle w:val="normaltextrun"/>
          <w:rFonts w:ascii="Times New Roman" w:hAnsi="Times New Roman" w:cs="Times New Roman"/>
          <w:color w:val="000000"/>
          <w:position w:val="2"/>
        </w:rPr>
        <w:t>, C. F., Pentland, A., Hashmi, N., &amp; Malone, T. W. (2010). E</w:t>
      </w:r>
      <w:r w:rsidRPr="00316BA7">
        <w:rPr>
          <w:rFonts w:ascii="Times New Roman" w:eastAsia="Times New Roman" w:hAnsi="Times New Roman" w:cs="Times New Roman"/>
          <w:color w:val="000000"/>
          <w:position w:val="2"/>
        </w:rPr>
        <w:t>vidence for a collective intelligence factor in the performance of human groups. </w:t>
      </w:r>
      <w:r w:rsidRPr="00316BA7">
        <w:rPr>
          <w:rFonts w:ascii="Times New Roman" w:eastAsia="Times New Roman" w:hAnsi="Times New Roman" w:cs="Times New Roman"/>
          <w:i/>
          <w:iCs/>
          <w:color w:val="000000"/>
          <w:position w:val="2"/>
        </w:rPr>
        <w:t>Science</w:t>
      </w:r>
      <w:r w:rsidRPr="00316BA7">
        <w:rPr>
          <w:rFonts w:ascii="Times New Roman" w:eastAsia="Times New Roman" w:hAnsi="Times New Roman" w:cs="Times New Roman"/>
          <w:color w:val="000000"/>
          <w:position w:val="2"/>
        </w:rPr>
        <w:t>, </w:t>
      </w:r>
      <w:r w:rsidRPr="00316BA7">
        <w:rPr>
          <w:rFonts w:ascii="Times New Roman" w:eastAsia="Times New Roman" w:hAnsi="Times New Roman" w:cs="Times New Roman"/>
          <w:i/>
          <w:iCs/>
          <w:color w:val="000000"/>
          <w:position w:val="2"/>
        </w:rPr>
        <w:t>330</w:t>
      </w:r>
      <w:r w:rsidRPr="00316BA7">
        <w:rPr>
          <w:rFonts w:ascii="Times New Roman" w:eastAsia="Times New Roman" w:hAnsi="Times New Roman" w:cs="Times New Roman"/>
          <w:color w:val="000000"/>
          <w:position w:val="2"/>
        </w:rPr>
        <w:t>(October), 686–689.</w:t>
      </w:r>
      <w:r w:rsidRPr="00316BA7">
        <w:rPr>
          <w:rFonts w:ascii="Times New Roman" w:eastAsia="Times New Roman" w:hAnsi="Times New Roman" w:cs="Times New Roman"/>
          <w:color w:val="000000"/>
        </w:rPr>
        <w:t>​</w:t>
      </w:r>
    </w:p>
    <w:p w:rsidR="00315A26" w:rsidRPr="00316BA7" w:rsidRDefault="00316BA7"/>
    <w:sectPr w:rsidR="00315A26" w:rsidRPr="00316BA7" w:rsidSect="002F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7"/>
    <w:rsid w:val="00083352"/>
    <w:rsid w:val="002F507B"/>
    <w:rsid w:val="00316BA7"/>
    <w:rsid w:val="003A4ABE"/>
    <w:rsid w:val="00811131"/>
    <w:rsid w:val="00A57BDB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FEB3C"/>
  <w14:defaultImageDpi w14:val="32767"/>
  <w15:chartTrackingRefBased/>
  <w15:docId w15:val="{69F70838-F449-E04A-B2A0-71394CE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BA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6B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16BA7"/>
  </w:style>
  <w:style w:type="character" w:customStyle="1" w:styleId="apple-converted-space">
    <w:name w:val="apple-converted-space"/>
    <w:basedOn w:val="DefaultParagraphFont"/>
    <w:rsid w:val="00316BA7"/>
  </w:style>
  <w:style w:type="character" w:customStyle="1" w:styleId="eop">
    <w:name w:val="eop"/>
    <w:basedOn w:val="DefaultParagraphFont"/>
    <w:rsid w:val="0031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Awalt</dc:creator>
  <cp:keywords/>
  <dc:description/>
  <cp:lastModifiedBy>Mitchell Awalt</cp:lastModifiedBy>
  <cp:revision>1</cp:revision>
  <dcterms:created xsi:type="dcterms:W3CDTF">2018-12-06T20:15:00Z</dcterms:created>
  <dcterms:modified xsi:type="dcterms:W3CDTF">2018-12-06T20:16:00Z</dcterms:modified>
</cp:coreProperties>
</file>