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FB" w:rsidRDefault="00386696" w:rsidP="009F4EAB">
      <w:pPr>
        <w:pStyle w:val="NoSpacing"/>
        <w:pBdr>
          <w:bottom w:val="single" w:sz="4" w:space="1" w:color="auto"/>
        </w:pBdr>
        <w:ind w:right="-180"/>
        <w:rPr>
          <w:b/>
          <w:sz w:val="24"/>
        </w:rPr>
      </w:pPr>
      <w:r>
        <w:rPr>
          <w:b/>
          <w:sz w:val="24"/>
        </w:rPr>
        <w:t>Primary Production in the Oceans: Building a Carbon Comparator</w:t>
      </w:r>
    </w:p>
    <w:p w:rsidR="00A2498C" w:rsidRPr="00865145" w:rsidRDefault="00A2498C" w:rsidP="00386696">
      <w:pPr>
        <w:pStyle w:val="NoSpacing"/>
        <w:rPr>
          <w:sz w:val="20"/>
          <w:szCs w:val="21"/>
        </w:rPr>
      </w:pPr>
      <w:r w:rsidRPr="00865145">
        <w:rPr>
          <w:sz w:val="20"/>
          <w:szCs w:val="21"/>
        </w:rPr>
        <w:t>Joceline Boucher, Corning School of Ocean Studies, Maine Maritime Academy joceline.boucher@mma.edu</w:t>
      </w:r>
    </w:p>
    <w:p w:rsidR="00A2498C" w:rsidRPr="00BD4CC6" w:rsidRDefault="00A2498C" w:rsidP="00386696">
      <w:pPr>
        <w:pStyle w:val="NoSpacing"/>
        <w:rPr>
          <w:i/>
          <w:sz w:val="12"/>
        </w:rPr>
      </w:pPr>
    </w:p>
    <w:p w:rsidR="00785DCF" w:rsidRPr="004B08B7" w:rsidRDefault="00A15BF5" w:rsidP="00785DCF">
      <w:pPr>
        <w:pStyle w:val="NoSpacing"/>
        <w:tabs>
          <w:tab w:val="left" w:pos="7470"/>
          <w:tab w:val="left" w:pos="8100"/>
          <w:tab w:val="left" w:pos="8370"/>
        </w:tabs>
        <w:ind w:right="-90"/>
        <w:rPr>
          <w:i/>
          <w:sz w:val="24"/>
        </w:rPr>
      </w:pPr>
      <w:r w:rsidRPr="004B08B7">
        <w:rPr>
          <w:i/>
          <w:sz w:val="24"/>
        </w:rPr>
        <w:t xml:space="preserve">Summary  </w:t>
      </w:r>
    </w:p>
    <w:p w:rsidR="00386696" w:rsidRPr="004B08B7" w:rsidRDefault="00386696" w:rsidP="00785DCF">
      <w:pPr>
        <w:pStyle w:val="NoSpacing"/>
        <w:tabs>
          <w:tab w:val="left" w:pos="7470"/>
          <w:tab w:val="left" w:pos="8100"/>
          <w:tab w:val="left" w:pos="8370"/>
        </w:tabs>
        <w:ind w:right="-90"/>
        <w:rPr>
          <w:sz w:val="24"/>
        </w:rPr>
      </w:pPr>
      <w:r w:rsidRPr="004B08B7">
        <w:rPr>
          <w:sz w:val="24"/>
        </w:rPr>
        <w:t>This activity</w:t>
      </w:r>
      <w:r w:rsidR="00BD4CC6" w:rsidRPr="004B08B7">
        <w:rPr>
          <w:sz w:val="24"/>
        </w:rPr>
        <w:t xml:space="preserve"> provides</w:t>
      </w:r>
      <w:r w:rsidRPr="004B08B7">
        <w:rPr>
          <w:sz w:val="24"/>
        </w:rPr>
        <w:t xml:space="preserve"> a “hands-on” visualization of </w:t>
      </w:r>
      <w:r w:rsidR="000E40D3">
        <w:rPr>
          <w:sz w:val="24"/>
        </w:rPr>
        <w:t xml:space="preserve">marine </w:t>
      </w:r>
      <w:r w:rsidRPr="004B08B7">
        <w:rPr>
          <w:sz w:val="24"/>
        </w:rPr>
        <w:t>primary production</w:t>
      </w:r>
      <w:r w:rsidR="00F550EE">
        <w:rPr>
          <w:sz w:val="24"/>
        </w:rPr>
        <w:t xml:space="preserve"> in terms of relative rates and chemical representation</w:t>
      </w:r>
      <w:r w:rsidRPr="004B08B7">
        <w:rPr>
          <w:sz w:val="24"/>
        </w:rPr>
        <w:t xml:space="preserve">. </w:t>
      </w:r>
    </w:p>
    <w:p w:rsidR="00785DCF" w:rsidRPr="004B08B7" w:rsidRDefault="00785DCF" w:rsidP="00785DCF">
      <w:pPr>
        <w:pStyle w:val="NoSpacing"/>
        <w:tabs>
          <w:tab w:val="left" w:pos="7470"/>
          <w:tab w:val="left" w:pos="8100"/>
          <w:tab w:val="left" w:pos="8370"/>
        </w:tabs>
        <w:ind w:right="-90"/>
        <w:rPr>
          <w:sz w:val="24"/>
        </w:rPr>
      </w:pPr>
    </w:p>
    <w:p w:rsidR="00A2498C" w:rsidRPr="004B08B7" w:rsidRDefault="00A2498C" w:rsidP="00386696">
      <w:pPr>
        <w:pStyle w:val="NoSpacing"/>
        <w:rPr>
          <w:i/>
          <w:sz w:val="24"/>
        </w:rPr>
      </w:pPr>
      <w:r w:rsidRPr="004B08B7">
        <w:rPr>
          <w:i/>
          <w:sz w:val="24"/>
        </w:rPr>
        <w:t xml:space="preserve">Context </w:t>
      </w:r>
    </w:p>
    <w:p w:rsidR="00386696" w:rsidRPr="004B08B7" w:rsidRDefault="00A2498C" w:rsidP="00386696">
      <w:pPr>
        <w:pStyle w:val="NoSpacing"/>
        <w:rPr>
          <w:sz w:val="24"/>
        </w:rPr>
      </w:pPr>
      <w:r w:rsidRPr="004B08B7">
        <w:rPr>
          <w:sz w:val="24"/>
          <w:u w:val="single"/>
        </w:rPr>
        <w:t>Audience</w:t>
      </w:r>
      <w:r w:rsidRPr="004B08B7">
        <w:rPr>
          <w:sz w:val="24"/>
        </w:rPr>
        <w:t xml:space="preserve"> </w:t>
      </w:r>
      <w:r w:rsidR="00A15BF5" w:rsidRPr="004B08B7">
        <w:rPr>
          <w:sz w:val="24"/>
        </w:rPr>
        <w:t xml:space="preserve"> </w:t>
      </w:r>
      <w:r w:rsidRPr="004B08B7">
        <w:rPr>
          <w:sz w:val="24"/>
        </w:rPr>
        <w:t xml:space="preserve">Any undergraduate course </w:t>
      </w:r>
      <w:r w:rsidR="00BD4CC6" w:rsidRPr="004B08B7">
        <w:rPr>
          <w:sz w:val="24"/>
        </w:rPr>
        <w:t xml:space="preserve">that </w:t>
      </w:r>
      <w:r w:rsidRPr="004B08B7">
        <w:rPr>
          <w:sz w:val="24"/>
        </w:rPr>
        <w:t>explo</w:t>
      </w:r>
      <w:r w:rsidR="00BD4CC6" w:rsidRPr="004B08B7">
        <w:rPr>
          <w:sz w:val="24"/>
        </w:rPr>
        <w:t>res</w:t>
      </w:r>
      <w:r w:rsidRPr="004B08B7">
        <w:rPr>
          <w:sz w:val="24"/>
        </w:rPr>
        <w:t xml:space="preserve"> or refer</w:t>
      </w:r>
      <w:r w:rsidR="00BD4CC6" w:rsidRPr="004B08B7">
        <w:rPr>
          <w:sz w:val="24"/>
        </w:rPr>
        <w:t xml:space="preserve">s </w:t>
      </w:r>
      <w:r w:rsidRPr="004B08B7">
        <w:rPr>
          <w:sz w:val="24"/>
        </w:rPr>
        <w:t xml:space="preserve">to primary production. I use </w:t>
      </w:r>
      <w:r w:rsidR="00E90DA7" w:rsidRPr="004B08B7">
        <w:rPr>
          <w:sz w:val="24"/>
        </w:rPr>
        <w:t>the activity</w:t>
      </w:r>
      <w:r w:rsidRPr="004B08B7">
        <w:rPr>
          <w:sz w:val="24"/>
        </w:rPr>
        <w:t xml:space="preserve"> in a marine geochemistry course.</w:t>
      </w:r>
      <w:r w:rsidR="00C611B4" w:rsidRPr="004B08B7">
        <w:rPr>
          <w:sz w:val="24"/>
        </w:rPr>
        <w:t xml:space="preserve"> Note: t</w:t>
      </w:r>
      <w:r w:rsidR="00F550EE">
        <w:rPr>
          <w:sz w:val="24"/>
        </w:rPr>
        <w:t>he</w:t>
      </w:r>
      <w:r w:rsidR="00C611B4" w:rsidRPr="004B08B7">
        <w:rPr>
          <w:sz w:val="24"/>
        </w:rPr>
        <w:t xml:space="preserve"> activity would </w:t>
      </w:r>
      <w:r w:rsidR="00F550EE">
        <w:rPr>
          <w:sz w:val="24"/>
        </w:rPr>
        <w:t xml:space="preserve">be difficult to do </w:t>
      </w:r>
      <w:r w:rsidR="00C611B4" w:rsidRPr="004B08B7">
        <w:rPr>
          <w:sz w:val="24"/>
        </w:rPr>
        <w:t xml:space="preserve">in a large class; the instructor could instead </w:t>
      </w:r>
      <w:r w:rsidR="00F550EE">
        <w:rPr>
          <w:sz w:val="24"/>
        </w:rPr>
        <w:t>pass</w:t>
      </w:r>
      <w:r w:rsidR="00864825" w:rsidRPr="004B08B7">
        <w:rPr>
          <w:sz w:val="24"/>
        </w:rPr>
        <w:t xml:space="preserve"> around</w:t>
      </w:r>
      <w:r w:rsidR="00C611B4" w:rsidRPr="004B08B7">
        <w:rPr>
          <w:sz w:val="24"/>
        </w:rPr>
        <w:t xml:space="preserve"> </w:t>
      </w:r>
      <w:r w:rsidR="00F550EE">
        <w:rPr>
          <w:sz w:val="24"/>
        </w:rPr>
        <w:t>a preassembled</w:t>
      </w:r>
      <w:r w:rsidR="00C611B4" w:rsidRPr="004B08B7">
        <w:rPr>
          <w:sz w:val="24"/>
        </w:rPr>
        <w:t xml:space="preserve"> carbon comparator.</w:t>
      </w:r>
    </w:p>
    <w:p w:rsidR="00A2498C" w:rsidRPr="004B08B7" w:rsidRDefault="00A2498C" w:rsidP="00386696">
      <w:pPr>
        <w:pStyle w:val="NoSpacing"/>
        <w:rPr>
          <w:sz w:val="12"/>
        </w:rPr>
      </w:pPr>
    </w:p>
    <w:p w:rsidR="00A2498C" w:rsidRPr="004B08B7" w:rsidRDefault="00A2498C" w:rsidP="00386696">
      <w:pPr>
        <w:pStyle w:val="NoSpacing"/>
        <w:rPr>
          <w:sz w:val="24"/>
        </w:rPr>
      </w:pPr>
      <w:r w:rsidRPr="004B08B7">
        <w:rPr>
          <w:sz w:val="24"/>
          <w:u w:val="single"/>
        </w:rPr>
        <w:t>Skills and Concepts Students Must Have Mastered</w:t>
      </w:r>
      <w:r w:rsidRPr="004B08B7">
        <w:rPr>
          <w:sz w:val="24"/>
        </w:rPr>
        <w:t xml:space="preserve">  Th</w:t>
      </w:r>
      <w:r w:rsidR="00BD4CC6" w:rsidRPr="004B08B7">
        <w:rPr>
          <w:sz w:val="24"/>
        </w:rPr>
        <w:t>e</w:t>
      </w:r>
      <w:r w:rsidRPr="004B08B7">
        <w:rPr>
          <w:sz w:val="24"/>
        </w:rPr>
        <w:t xml:space="preserve"> activity can be </w:t>
      </w:r>
      <w:r w:rsidR="00BD4CC6" w:rsidRPr="004B08B7">
        <w:rPr>
          <w:sz w:val="24"/>
        </w:rPr>
        <w:t>done</w:t>
      </w:r>
      <w:r w:rsidRPr="004B08B7">
        <w:rPr>
          <w:sz w:val="24"/>
        </w:rPr>
        <w:t xml:space="preserve"> at an introductory level (no </w:t>
      </w:r>
      <w:r w:rsidR="00A15BF5" w:rsidRPr="004B08B7">
        <w:rPr>
          <w:sz w:val="24"/>
        </w:rPr>
        <w:t xml:space="preserve">required </w:t>
      </w:r>
      <w:r w:rsidRPr="004B08B7">
        <w:rPr>
          <w:sz w:val="24"/>
        </w:rPr>
        <w:t>knowledge of stoichiometry) or at an intermediate level (students do their</w:t>
      </w:r>
      <w:r w:rsidR="00C611B4" w:rsidRPr="004B08B7">
        <w:rPr>
          <w:sz w:val="24"/>
        </w:rPr>
        <w:t xml:space="preserve"> own stoichiometric calculation</w:t>
      </w:r>
      <w:r w:rsidRPr="004B08B7">
        <w:rPr>
          <w:sz w:val="24"/>
        </w:rPr>
        <w:t>).</w:t>
      </w:r>
    </w:p>
    <w:p w:rsidR="00A2498C" w:rsidRPr="004B08B7" w:rsidRDefault="00A2498C" w:rsidP="00386696">
      <w:pPr>
        <w:pStyle w:val="NoSpacing"/>
        <w:rPr>
          <w:sz w:val="12"/>
        </w:rPr>
      </w:pPr>
    </w:p>
    <w:p w:rsidR="00A2498C" w:rsidRPr="004B08B7" w:rsidRDefault="00A2498C" w:rsidP="00386696">
      <w:pPr>
        <w:pStyle w:val="NoSpacing"/>
        <w:rPr>
          <w:sz w:val="24"/>
        </w:rPr>
      </w:pPr>
      <w:r w:rsidRPr="004B08B7">
        <w:rPr>
          <w:sz w:val="24"/>
          <w:u w:val="single"/>
        </w:rPr>
        <w:t>How the Activity is Situated in the Course</w:t>
      </w:r>
      <w:r w:rsidRPr="004B08B7">
        <w:rPr>
          <w:sz w:val="24"/>
        </w:rPr>
        <w:t xml:space="preserve">  </w:t>
      </w:r>
      <w:r w:rsidR="00864825" w:rsidRPr="004B08B7">
        <w:rPr>
          <w:sz w:val="24"/>
        </w:rPr>
        <w:t>The</w:t>
      </w:r>
      <w:r w:rsidRPr="004B08B7">
        <w:rPr>
          <w:sz w:val="24"/>
        </w:rPr>
        <w:t xml:space="preserve"> activity</w:t>
      </w:r>
      <w:r w:rsidR="00F550EE">
        <w:rPr>
          <w:sz w:val="24"/>
        </w:rPr>
        <w:t xml:space="preserve"> </w:t>
      </w:r>
      <w:r w:rsidRPr="004B08B7">
        <w:rPr>
          <w:sz w:val="24"/>
        </w:rPr>
        <w:t xml:space="preserve">immediately </w:t>
      </w:r>
      <w:r w:rsidR="00864825" w:rsidRPr="004B08B7">
        <w:rPr>
          <w:sz w:val="24"/>
        </w:rPr>
        <w:t>follows a</w:t>
      </w:r>
      <w:r w:rsidRPr="004B08B7">
        <w:rPr>
          <w:sz w:val="24"/>
        </w:rPr>
        <w:t xml:space="preserve"> brief review of primary production</w:t>
      </w:r>
      <w:r w:rsidR="003131D6" w:rsidRPr="004B08B7">
        <w:rPr>
          <w:sz w:val="24"/>
        </w:rPr>
        <w:t>.</w:t>
      </w:r>
      <w:r w:rsidR="00F550EE">
        <w:rPr>
          <w:sz w:val="24"/>
        </w:rPr>
        <w:t xml:space="preserve"> The</w:t>
      </w:r>
      <w:r w:rsidRPr="004B08B7">
        <w:rPr>
          <w:sz w:val="24"/>
        </w:rPr>
        <w:t xml:space="preserve"> activity</w:t>
      </w:r>
      <w:r w:rsidR="00FA0766">
        <w:rPr>
          <w:sz w:val="24"/>
        </w:rPr>
        <w:t xml:space="preserve">, once completed, also </w:t>
      </w:r>
      <w:r w:rsidR="00A15BF5" w:rsidRPr="004B08B7">
        <w:rPr>
          <w:sz w:val="24"/>
        </w:rPr>
        <w:t>helps</w:t>
      </w:r>
      <w:r w:rsidRPr="004B08B7">
        <w:rPr>
          <w:sz w:val="24"/>
        </w:rPr>
        <w:t xml:space="preserve"> </w:t>
      </w:r>
      <w:r w:rsidR="00A15BF5" w:rsidRPr="004B08B7">
        <w:rPr>
          <w:sz w:val="24"/>
        </w:rPr>
        <w:t xml:space="preserve">initiate </w:t>
      </w:r>
      <w:r w:rsidRPr="004B08B7">
        <w:rPr>
          <w:sz w:val="24"/>
        </w:rPr>
        <w:t>discussion of carbon transfer and recycling in the oceans.</w:t>
      </w:r>
      <w:r w:rsidR="003B1B5D" w:rsidRPr="004B08B7">
        <w:rPr>
          <w:sz w:val="24"/>
        </w:rPr>
        <w:t xml:space="preserve"> The hands-on portion </w:t>
      </w:r>
      <w:r w:rsidR="00FA0766">
        <w:rPr>
          <w:sz w:val="24"/>
        </w:rPr>
        <w:t>takes</w:t>
      </w:r>
      <w:r w:rsidR="00E90DA7" w:rsidRPr="004B08B7">
        <w:rPr>
          <w:sz w:val="24"/>
        </w:rPr>
        <w:t xml:space="preserve"> about 20 minutes</w:t>
      </w:r>
      <w:r w:rsidR="00C611B4" w:rsidRPr="004B08B7">
        <w:rPr>
          <w:sz w:val="24"/>
        </w:rPr>
        <w:t xml:space="preserve">; </w:t>
      </w:r>
      <w:r w:rsidR="003B1B5D" w:rsidRPr="004B08B7">
        <w:rPr>
          <w:sz w:val="24"/>
        </w:rPr>
        <w:t>the activity and</w:t>
      </w:r>
      <w:r w:rsidR="00E90DA7" w:rsidRPr="004B08B7">
        <w:rPr>
          <w:sz w:val="24"/>
        </w:rPr>
        <w:t xml:space="preserve"> ensuing</w:t>
      </w:r>
      <w:r w:rsidR="003B1B5D" w:rsidRPr="004B08B7">
        <w:rPr>
          <w:sz w:val="24"/>
        </w:rPr>
        <w:t xml:space="preserve"> discussion</w:t>
      </w:r>
      <w:r w:rsidR="00F550EE">
        <w:rPr>
          <w:sz w:val="24"/>
        </w:rPr>
        <w:t xml:space="preserve"> together require a 50 minute class period</w:t>
      </w:r>
      <w:r w:rsidR="003B1B5D" w:rsidRPr="004B08B7">
        <w:rPr>
          <w:sz w:val="24"/>
        </w:rPr>
        <w:t>.</w:t>
      </w:r>
    </w:p>
    <w:p w:rsidR="00BD4CC6" w:rsidRPr="004B08B7" w:rsidRDefault="00BD4CC6" w:rsidP="00386696">
      <w:pPr>
        <w:pStyle w:val="NoSpacing"/>
        <w:rPr>
          <w:sz w:val="24"/>
        </w:rPr>
      </w:pPr>
    </w:p>
    <w:p w:rsidR="00BD4CC6" w:rsidRPr="004B08B7" w:rsidRDefault="00BD4CC6" w:rsidP="00386696">
      <w:pPr>
        <w:pStyle w:val="NoSpacing"/>
        <w:rPr>
          <w:i/>
          <w:sz w:val="24"/>
        </w:rPr>
      </w:pPr>
      <w:r w:rsidRPr="004B08B7">
        <w:rPr>
          <w:i/>
          <w:sz w:val="24"/>
        </w:rPr>
        <w:t>Goals</w:t>
      </w:r>
    </w:p>
    <w:p w:rsidR="003B1B5D" w:rsidRPr="004B08B7" w:rsidRDefault="00BD4CC6" w:rsidP="00C963ED">
      <w:pPr>
        <w:pStyle w:val="NoSpacing"/>
        <w:rPr>
          <w:sz w:val="24"/>
        </w:rPr>
      </w:pPr>
      <w:r w:rsidRPr="004B08B7">
        <w:rPr>
          <w:sz w:val="24"/>
        </w:rPr>
        <w:t xml:space="preserve">Textbooks </w:t>
      </w:r>
      <w:r w:rsidR="00A15BF5" w:rsidRPr="004B08B7">
        <w:rPr>
          <w:sz w:val="24"/>
        </w:rPr>
        <w:t>typically</w:t>
      </w:r>
      <w:r w:rsidRPr="004B08B7">
        <w:rPr>
          <w:sz w:val="24"/>
        </w:rPr>
        <w:t xml:space="preserve"> cast marine primary production in a global context – i.e. the oceans account for </w:t>
      </w:r>
      <w:r w:rsidR="00B32C2C" w:rsidRPr="004B08B7">
        <w:rPr>
          <w:sz w:val="24"/>
        </w:rPr>
        <w:t>roughly</w:t>
      </w:r>
      <w:r w:rsidRPr="004B08B7">
        <w:rPr>
          <w:sz w:val="24"/>
        </w:rPr>
        <w:t xml:space="preserve"> 50% of phot</w:t>
      </w:r>
      <w:r w:rsidR="00A15BF5" w:rsidRPr="004B08B7">
        <w:rPr>
          <w:sz w:val="24"/>
        </w:rPr>
        <w:t xml:space="preserve">osynthetic production on earth. </w:t>
      </w:r>
      <w:r w:rsidR="00C963ED">
        <w:rPr>
          <w:sz w:val="24"/>
        </w:rPr>
        <w:t>The main</w:t>
      </w:r>
      <w:r w:rsidR="00F550EE">
        <w:rPr>
          <w:sz w:val="24"/>
        </w:rPr>
        <w:t xml:space="preserve"> goal</w:t>
      </w:r>
      <w:r w:rsidR="00A15BF5" w:rsidRPr="004B08B7">
        <w:rPr>
          <w:sz w:val="24"/>
        </w:rPr>
        <w:t xml:space="preserve"> </w:t>
      </w:r>
      <w:r w:rsidR="00C963ED">
        <w:rPr>
          <w:sz w:val="24"/>
        </w:rPr>
        <w:t xml:space="preserve">of this activity </w:t>
      </w:r>
      <w:r w:rsidR="00A15BF5" w:rsidRPr="004B08B7">
        <w:rPr>
          <w:sz w:val="24"/>
        </w:rPr>
        <w:t xml:space="preserve">is to </w:t>
      </w:r>
      <w:r w:rsidR="005A5676" w:rsidRPr="004B08B7">
        <w:rPr>
          <w:sz w:val="24"/>
        </w:rPr>
        <w:t>help</w:t>
      </w:r>
      <w:r w:rsidR="00A15BF5" w:rsidRPr="004B08B7">
        <w:rPr>
          <w:sz w:val="24"/>
        </w:rPr>
        <w:t xml:space="preserve"> students place </w:t>
      </w:r>
      <w:r w:rsidR="00EC1592">
        <w:rPr>
          <w:sz w:val="24"/>
        </w:rPr>
        <w:t>marine productivity</w:t>
      </w:r>
      <w:r w:rsidR="00A15BF5" w:rsidRPr="004B08B7">
        <w:rPr>
          <w:sz w:val="24"/>
        </w:rPr>
        <w:t xml:space="preserve"> in equally memorable</w:t>
      </w:r>
      <w:r w:rsidR="003131D6" w:rsidRPr="004B08B7">
        <w:rPr>
          <w:sz w:val="24"/>
        </w:rPr>
        <w:t xml:space="preserve"> </w:t>
      </w:r>
      <w:r w:rsidR="009E4086">
        <w:rPr>
          <w:sz w:val="24"/>
        </w:rPr>
        <w:t>spatial</w:t>
      </w:r>
      <w:r w:rsidR="003131D6" w:rsidRPr="004B08B7">
        <w:rPr>
          <w:sz w:val="24"/>
        </w:rPr>
        <w:t xml:space="preserve"> and </w:t>
      </w:r>
      <w:r w:rsidR="009E4086">
        <w:rPr>
          <w:sz w:val="24"/>
        </w:rPr>
        <w:t>temporal</w:t>
      </w:r>
      <w:r w:rsidR="00A15BF5" w:rsidRPr="004B08B7">
        <w:rPr>
          <w:sz w:val="24"/>
        </w:rPr>
        <w:t xml:space="preserve"> contexts.</w:t>
      </w:r>
      <w:r w:rsidR="003B1B5D" w:rsidRPr="004B08B7">
        <w:rPr>
          <w:sz w:val="24"/>
        </w:rPr>
        <w:t xml:space="preserve"> </w:t>
      </w:r>
      <w:r w:rsidR="00C963ED">
        <w:rPr>
          <w:sz w:val="24"/>
        </w:rPr>
        <w:t>Students</w:t>
      </w:r>
      <w:r w:rsidR="003B1B5D" w:rsidRPr="004B08B7">
        <w:rPr>
          <w:sz w:val="24"/>
        </w:rPr>
        <w:t xml:space="preserve"> start by recalling the photosynthetic equation and </w:t>
      </w:r>
      <w:r w:rsidR="00F550EE">
        <w:rPr>
          <w:sz w:val="24"/>
        </w:rPr>
        <w:t xml:space="preserve">use </w:t>
      </w:r>
      <w:r w:rsidR="009E4086">
        <w:rPr>
          <w:sz w:val="24"/>
        </w:rPr>
        <w:t xml:space="preserve">it </w:t>
      </w:r>
      <w:r w:rsidR="00F550EE">
        <w:rPr>
          <w:sz w:val="24"/>
        </w:rPr>
        <w:t>to translate</w:t>
      </w:r>
      <w:r w:rsidR="00864825" w:rsidRPr="004B08B7">
        <w:rPr>
          <w:sz w:val="24"/>
        </w:rPr>
        <w:t xml:space="preserve"> </w:t>
      </w:r>
      <w:r w:rsidR="003B1B5D" w:rsidRPr="004B08B7">
        <w:rPr>
          <w:sz w:val="24"/>
        </w:rPr>
        <w:t>primary production</w:t>
      </w:r>
      <w:r w:rsidR="009E4086">
        <w:rPr>
          <w:sz w:val="24"/>
        </w:rPr>
        <w:t xml:space="preserve"> </w:t>
      </w:r>
      <w:r w:rsidR="003B1B5D" w:rsidRPr="004B08B7">
        <w:rPr>
          <w:sz w:val="24"/>
        </w:rPr>
        <w:t>into glucose</w:t>
      </w:r>
      <w:r w:rsidR="00F550EE">
        <w:rPr>
          <w:sz w:val="24"/>
        </w:rPr>
        <w:t>-equivalents</w:t>
      </w:r>
      <w:r w:rsidR="00FA0766">
        <w:rPr>
          <w:sz w:val="24"/>
        </w:rPr>
        <w:t xml:space="preserve">. </w:t>
      </w:r>
      <w:r w:rsidR="00357B81">
        <w:rPr>
          <w:sz w:val="24"/>
        </w:rPr>
        <w:t>Groups then</w:t>
      </w:r>
      <w:r w:rsidR="00C963ED">
        <w:rPr>
          <w:sz w:val="24"/>
        </w:rPr>
        <w:t xml:space="preserve"> </w:t>
      </w:r>
      <w:r w:rsidR="00357B81">
        <w:rPr>
          <w:sz w:val="24"/>
        </w:rPr>
        <w:t xml:space="preserve">weigh </w:t>
      </w:r>
      <w:r w:rsidR="009E4086">
        <w:rPr>
          <w:sz w:val="24"/>
        </w:rPr>
        <w:t>masses</w:t>
      </w:r>
      <w:r w:rsidR="00C963ED">
        <w:rPr>
          <w:sz w:val="24"/>
        </w:rPr>
        <w:t xml:space="preserve"> of glucose</w:t>
      </w:r>
      <w:r w:rsidR="00EC1592">
        <w:rPr>
          <w:sz w:val="24"/>
        </w:rPr>
        <w:t>,</w:t>
      </w:r>
      <w:r w:rsidR="00C963ED">
        <w:rPr>
          <w:sz w:val="24"/>
        </w:rPr>
        <w:t xml:space="preserve"> </w:t>
      </w:r>
      <w:r w:rsidR="00357B81">
        <w:rPr>
          <w:sz w:val="24"/>
        </w:rPr>
        <w:t xml:space="preserve">corresponding to </w:t>
      </w:r>
      <w:r w:rsidR="00EC1592">
        <w:rPr>
          <w:sz w:val="24"/>
        </w:rPr>
        <w:t xml:space="preserve">the productivity of </w:t>
      </w:r>
      <w:r w:rsidR="00357B81">
        <w:rPr>
          <w:sz w:val="24"/>
        </w:rPr>
        <w:t>different environments</w:t>
      </w:r>
      <w:r w:rsidR="00EC1592">
        <w:rPr>
          <w:sz w:val="24"/>
        </w:rPr>
        <w:t>,</w:t>
      </w:r>
      <w:r w:rsidR="00357B81">
        <w:rPr>
          <w:sz w:val="24"/>
        </w:rPr>
        <w:t xml:space="preserve"> </w:t>
      </w:r>
      <w:r w:rsidR="00C963ED">
        <w:rPr>
          <w:sz w:val="24"/>
        </w:rPr>
        <w:t>into transparent vials</w:t>
      </w:r>
      <w:r w:rsidR="009E4086">
        <w:rPr>
          <w:sz w:val="24"/>
        </w:rPr>
        <w:t xml:space="preserve">. </w:t>
      </w:r>
      <w:r w:rsidR="00357B81">
        <w:rPr>
          <w:sz w:val="24"/>
        </w:rPr>
        <w:t xml:space="preserve">Together, the class considers </w:t>
      </w:r>
      <w:r w:rsidR="00EC1592">
        <w:rPr>
          <w:sz w:val="24"/>
        </w:rPr>
        <w:t>productivity</w:t>
      </w:r>
      <w:r w:rsidR="00FA0766">
        <w:rPr>
          <w:sz w:val="24"/>
        </w:rPr>
        <w:t xml:space="preserve"> variations</w:t>
      </w:r>
      <w:r w:rsidR="00357B81">
        <w:rPr>
          <w:sz w:val="24"/>
        </w:rPr>
        <w:t xml:space="preserve"> in the oceans by matching vials to their representative environments.</w:t>
      </w:r>
    </w:p>
    <w:p w:rsidR="003B1B5D" w:rsidRPr="004B08B7" w:rsidRDefault="003B1B5D" w:rsidP="00A15BF5">
      <w:pPr>
        <w:pStyle w:val="NoSpacing"/>
        <w:rPr>
          <w:sz w:val="24"/>
        </w:rPr>
      </w:pPr>
    </w:p>
    <w:p w:rsidR="00BD4CC6" w:rsidRPr="004B08B7" w:rsidRDefault="00A15BF5" w:rsidP="00A15BF5">
      <w:pPr>
        <w:pStyle w:val="NoSpacing"/>
        <w:rPr>
          <w:sz w:val="24"/>
        </w:rPr>
      </w:pPr>
      <w:r w:rsidRPr="004B08B7">
        <w:rPr>
          <w:sz w:val="24"/>
        </w:rPr>
        <w:t xml:space="preserve">A related goal is </w:t>
      </w:r>
      <w:r w:rsidR="005A5676" w:rsidRPr="004B08B7">
        <w:rPr>
          <w:sz w:val="24"/>
        </w:rPr>
        <w:t>for</w:t>
      </w:r>
      <w:r w:rsidR="00B32C2C" w:rsidRPr="004B08B7">
        <w:rPr>
          <w:sz w:val="24"/>
        </w:rPr>
        <w:t xml:space="preserve"> students </w:t>
      </w:r>
      <w:r w:rsidR="005A5676" w:rsidRPr="004B08B7">
        <w:rPr>
          <w:sz w:val="24"/>
        </w:rPr>
        <w:t xml:space="preserve">to </w:t>
      </w:r>
      <w:r w:rsidR="00374703">
        <w:rPr>
          <w:sz w:val="24"/>
        </w:rPr>
        <w:t>visualize</w:t>
      </w:r>
      <w:r w:rsidR="00B32C2C" w:rsidRPr="004B08B7">
        <w:rPr>
          <w:sz w:val="24"/>
        </w:rPr>
        <w:t xml:space="preserve"> carbon production and transfer in the oceans</w:t>
      </w:r>
      <w:r w:rsidR="00D245FF" w:rsidRPr="004B08B7">
        <w:rPr>
          <w:sz w:val="24"/>
        </w:rPr>
        <w:t>.</w:t>
      </w:r>
      <w:r w:rsidR="003B1B5D" w:rsidRPr="004B08B7">
        <w:rPr>
          <w:sz w:val="24"/>
        </w:rPr>
        <w:t xml:space="preserve"> </w:t>
      </w:r>
      <w:r w:rsidR="003131D6" w:rsidRPr="004B08B7">
        <w:rPr>
          <w:sz w:val="24"/>
        </w:rPr>
        <w:t xml:space="preserve">The instructor can </w:t>
      </w:r>
      <w:r w:rsidR="00B32C2C" w:rsidRPr="004B08B7">
        <w:rPr>
          <w:sz w:val="24"/>
        </w:rPr>
        <w:t>encourage this</w:t>
      </w:r>
      <w:r w:rsidR="003B1B5D" w:rsidRPr="004B08B7">
        <w:rPr>
          <w:sz w:val="24"/>
        </w:rPr>
        <w:t xml:space="preserve"> by </w:t>
      </w:r>
      <w:r w:rsidR="00374703">
        <w:rPr>
          <w:sz w:val="24"/>
        </w:rPr>
        <w:t xml:space="preserve">also </w:t>
      </w:r>
      <w:r w:rsidR="00B32C2C" w:rsidRPr="004B08B7">
        <w:rPr>
          <w:sz w:val="24"/>
        </w:rPr>
        <w:t>assigning rates of export</w:t>
      </w:r>
      <w:r w:rsidR="003131D6" w:rsidRPr="004B08B7">
        <w:rPr>
          <w:sz w:val="24"/>
        </w:rPr>
        <w:t xml:space="preserve"> production</w:t>
      </w:r>
      <w:r w:rsidR="00B32C2C" w:rsidRPr="004B08B7">
        <w:rPr>
          <w:sz w:val="24"/>
        </w:rPr>
        <w:t xml:space="preserve"> or</w:t>
      </w:r>
      <w:r w:rsidR="003131D6" w:rsidRPr="004B08B7">
        <w:rPr>
          <w:sz w:val="24"/>
        </w:rPr>
        <w:t xml:space="preserve"> carbon burial to groups. </w:t>
      </w:r>
      <w:r w:rsidR="00B8172F">
        <w:rPr>
          <w:sz w:val="24"/>
        </w:rPr>
        <w:t>The</w:t>
      </w:r>
      <w:r w:rsidR="00B32C2C" w:rsidRPr="004B08B7">
        <w:rPr>
          <w:sz w:val="24"/>
        </w:rPr>
        <w:t xml:space="preserve"> </w:t>
      </w:r>
      <w:r w:rsidR="00374703">
        <w:rPr>
          <w:sz w:val="24"/>
        </w:rPr>
        <w:t>mass of glucose</w:t>
      </w:r>
      <w:r w:rsidR="00B32C2C" w:rsidRPr="004B08B7">
        <w:rPr>
          <w:sz w:val="24"/>
        </w:rPr>
        <w:t xml:space="preserve"> represent</w:t>
      </w:r>
      <w:r w:rsidR="005A5676" w:rsidRPr="004B08B7">
        <w:rPr>
          <w:sz w:val="24"/>
        </w:rPr>
        <w:t>ing</w:t>
      </w:r>
      <w:r w:rsidR="00B32C2C" w:rsidRPr="004B08B7">
        <w:rPr>
          <w:sz w:val="24"/>
        </w:rPr>
        <w:t xml:space="preserve"> diurnal export production per square meter</w:t>
      </w:r>
      <w:r w:rsidR="00B8172F">
        <w:rPr>
          <w:sz w:val="24"/>
        </w:rPr>
        <w:t xml:space="preserve"> in most ocean environments will seem </w:t>
      </w:r>
      <w:r w:rsidR="00F40C25" w:rsidRPr="004B08B7">
        <w:rPr>
          <w:sz w:val="24"/>
        </w:rPr>
        <w:t xml:space="preserve">strikingly small </w:t>
      </w:r>
      <w:r w:rsidR="00B8172F">
        <w:rPr>
          <w:sz w:val="24"/>
        </w:rPr>
        <w:t>to students (and instructors!).</w:t>
      </w:r>
    </w:p>
    <w:p w:rsidR="00E90DA7" w:rsidRPr="004B08B7" w:rsidRDefault="00E90DA7" w:rsidP="00A15BF5">
      <w:pPr>
        <w:pStyle w:val="NoSpacing"/>
        <w:rPr>
          <w:sz w:val="24"/>
        </w:rPr>
      </w:pPr>
    </w:p>
    <w:p w:rsidR="00E90DA7" w:rsidRPr="004B08B7" w:rsidRDefault="00E90DA7" w:rsidP="00A15BF5">
      <w:pPr>
        <w:pStyle w:val="NoSpacing"/>
        <w:rPr>
          <w:sz w:val="24"/>
        </w:rPr>
      </w:pPr>
      <w:r w:rsidRPr="004B08B7">
        <w:rPr>
          <w:sz w:val="24"/>
        </w:rPr>
        <w:t>Lastly, students can place the vials in a transparent container for easy viewing, transport, and comparison</w:t>
      </w:r>
      <w:r w:rsidR="00864825" w:rsidRPr="004B08B7">
        <w:rPr>
          <w:sz w:val="24"/>
        </w:rPr>
        <w:t>;</w:t>
      </w:r>
      <w:r w:rsidRPr="004B08B7">
        <w:rPr>
          <w:sz w:val="24"/>
        </w:rPr>
        <w:t xml:space="preserve"> hence the term, “carbon comparator”.  </w:t>
      </w:r>
      <w:r w:rsidR="00D443CD">
        <w:rPr>
          <w:sz w:val="24"/>
        </w:rPr>
        <w:t xml:space="preserve">For this </w:t>
      </w:r>
      <w:r w:rsidRPr="004B08B7">
        <w:rPr>
          <w:sz w:val="24"/>
        </w:rPr>
        <w:t xml:space="preserve">I use a </w:t>
      </w:r>
      <w:r w:rsidR="002578B8" w:rsidRPr="004B08B7">
        <w:rPr>
          <w:sz w:val="24"/>
        </w:rPr>
        <w:t>wide-mouth</w:t>
      </w:r>
      <w:r w:rsidRPr="004B08B7">
        <w:rPr>
          <w:sz w:val="24"/>
        </w:rPr>
        <w:t xml:space="preserve"> </w:t>
      </w:r>
      <w:r w:rsidR="002578B8" w:rsidRPr="004B08B7">
        <w:rPr>
          <w:sz w:val="24"/>
        </w:rPr>
        <w:t xml:space="preserve">glass </w:t>
      </w:r>
      <w:r w:rsidRPr="004B08B7">
        <w:rPr>
          <w:sz w:val="24"/>
        </w:rPr>
        <w:t>jar</w:t>
      </w:r>
      <w:r w:rsidR="00D443CD">
        <w:rPr>
          <w:sz w:val="24"/>
        </w:rPr>
        <w:t xml:space="preserve"> </w:t>
      </w:r>
      <w:r w:rsidRPr="004B08B7">
        <w:rPr>
          <w:sz w:val="24"/>
        </w:rPr>
        <w:t>in which the vials fit snuggly</w:t>
      </w:r>
      <w:r w:rsidR="00374703">
        <w:rPr>
          <w:sz w:val="24"/>
        </w:rPr>
        <w:t>.</w:t>
      </w:r>
    </w:p>
    <w:p w:rsidR="00A15BF5" w:rsidRPr="004B08B7" w:rsidRDefault="00A15BF5" w:rsidP="00A15BF5">
      <w:pPr>
        <w:pStyle w:val="NoSpacing"/>
        <w:rPr>
          <w:sz w:val="24"/>
        </w:rPr>
      </w:pPr>
    </w:p>
    <w:p w:rsidR="00A15BF5" w:rsidRPr="004B08B7" w:rsidRDefault="00A15BF5" w:rsidP="00A15BF5">
      <w:pPr>
        <w:pStyle w:val="NoSpacing"/>
        <w:rPr>
          <w:i/>
          <w:sz w:val="24"/>
        </w:rPr>
      </w:pPr>
      <w:r w:rsidRPr="004B08B7">
        <w:rPr>
          <w:i/>
          <w:sz w:val="24"/>
        </w:rPr>
        <w:t>Equipment and Supplies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4"/>
        <w:gridCol w:w="4652"/>
      </w:tblGrid>
      <w:tr w:rsidR="00D245FF" w:rsidRPr="004B08B7" w:rsidTr="00D245FF">
        <w:tc>
          <w:tcPr>
            <w:tcW w:w="4788" w:type="dxa"/>
          </w:tcPr>
          <w:p w:rsidR="00D245FF" w:rsidRPr="004B08B7" w:rsidRDefault="00D245FF" w:rsidP="00A15BF5">
            <w:pPr>
              <w:pStyle w:val="NoSpacing"/>
              <w:rPr>
                <w:sz w:val="24"/>
              </w:rPr>
            </w:pPr>
            <w:r w:rsidRPr="004B08B7">
              <w:rPr>
                <w:sz w:val="24"/>
              </w:rPr>
              <w:t>A. Per Class</w:t>
            </w:r>
          </w:p>
          <w:p w:rsidR="004B08B7" w:rsidRDefault="00D245FF" w:rsidP="00D245FF">
            <w:pPr>
              <w:pStyle w:val="NoSpacing"/>
              <w:rPr>
                <w:sz w:val="24"/>
              </w:rPr>
            </w:pPr>
            <w:r w:rsidRPr="004B08B7">
              <w:rPr>
                <w:sz w:val="24"/>
              </w:rPr>
              <w:t>Portable balance (to 0.</w:t>
            </w:r>
            <w:r w:rsidR="00864825" w:rsidRPr="004B08B7">
              <w:rPr>
                <w:sz w:val="24"/>
              </w:rPr>
              <w:t xml:space="preserve">1 or 0. </w:t>
            </w:r>
            <w:r w:rsidRPr="004B08B7">
              <w:rPr>
                <w:sz w:val="24"/>
              </w:rPr>
              <w:t xml:space="preserve">01 g; ideally </w:t>
            </w:r>
          </w:p>
          <w:p w:rsidR="00D245FF" w:rsidRPr="004B08B7" w:rsidRDefault="004B08B7" w:rsidP="00D245F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245FF" w:rsidRPr="004B08B7">
              <w:rPr>
                <w:sz w:val="24"/>
              </w:rPr>
              <w:t>one for</w:t>
            </w:r>
            <w:r>
              <w:rPr>
                <w:sz w:val="24"/>
              </w:rPr>
              <w:t xml:space="preserve"> </w:t>
            </w:r>
            <w:r w:rsidR="00D245FF" w:rsidRPr="004B08B7">
              <w:rPr>
                <w:sz w:val="24"/>
              </w:rPr>
              <w:t>every</w:t>
            </w:r>
            <w:r w:rsidR="00864825" w:rsidRPr="004B08B7">
              <w:rPr>
                <w:sz w:val="24"/>
              </w:rPr>
              <w:t xml:space="preserve"> </w:t>
            </w:r>
            <w:r w:rsidR="00D245FF" w:rsidRPr="004B08B7">
              <w:rPr>
                <w:sz w:val="24"/>
              </w:rPr>
              <w:t>two student groups)</w:t>
            </w:r>
          </w:p>
          <w:p w:rsidR="00D245FF" w:rsidRPr="004B08B7" w:rsidRDefault="00D245FF" w:rsidP="00D245FF">
            <w:pPr>
              <w:pStyle w:val="NoSpacing"/>
              <w:rPr>
                <w:sz w:val="24"/>
              </w:rPr>
            </w:pPr>
            <w:r w:rsidRPr="004B08B7">
              <w:rPr>
                <w:sz w:val="24"/>
              </w:rPr>
              <w:t>One spatula per balance</w:t>
            </w:r>
          </w:p>
          <w:p w:rsidR="00D245FF" w:rsidRPr="004B08B7" w:rsidRDefault="005A5676" w:rsidP="00D245FF">
            <w:pPr>
              <w:pStyle w:val="NoSpacing"/>
              <w:rPr>
                <w:sz w:val="24"/>
              </w:rPr>
            </w:pPr>
            <w:r w:rsidRPr="004B08B7">
              <w:rPr>
                <w:sz w:val="24"/>
              </w:rPr>
              <w:t>5 pound b</w:t>
            </w:r>
            <w:r w:rsidR="00D245FF" w:rsidRPr="004B08B7">
              <w:rPr>
                <w:sz w:val="24"/>
              </w:rPr>
              <w:t>ag of sugar</w:t>
            </w:r>
          </w:p>
          <w:p w:rsidR="00D245FF" w:rsidRPr="004B08B7" w:rsidRDefault="00D245FF" w:rsidP="00D245FF">
            <w:pPr>
              <w:pStyle w:val="NoSpacing"/>
              <w:rPr>
                <w:sz w:val="24"/>
              </w:rPr>
            </w:pPr>
            <w:r w:rsidRPr="004B08B7">
              <w:rPr>
                <w:sz w:val="24"/>
              </w:rPr>
              <w:t>Meter stick</w:t>
            </w:r>
          </w:p>
          <w:p w:rsidR="00D245FF" w:rsidRDefault="005A5676" w:rsidP="00D245FF">
            <w:pPr>
              <w:pStyle w:val="NoSpacing"/>
              <w:rPr>
                <w:sz w:val="24"/>
              </w:rPr>
            </w:pPr>
            <w:r w:rsidRPr="004B08B7">
              <w:rPr>
                <w:sz w:val="24"/>
              </w:rPr>
              <w:t>Labeling tape</w:t>
            </w:r>
            <w:r w:rsidR="00D245FF" w:rsidRPr="004B08B7">
              <w:rPr>
                <w:sz w:val="24"/>
              </w:rPr>
              <w:t xml:space="preserve"> and/or marker</w:t>
            </w:r>
            <w:r w:rsidR="00864825" w:rsidRPr="004B08B7">
              <w:rPr>
                <w:sz w:val="24"/>
              </w:rPr>
              <w:t>(s)</w:t>
            </w:r>
          </w:p>
          <w:p w:rsidR="00374703" w:rsidRPr="004B08B7" w:rsidRDefault="00374703" w:rsidP="0037470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Transparent container to hold vials</w:t>
            </w:r>
          </w:p>
        </w:tc>
        <w:tc>
          <w:tcPr>
            <w:tcW w:w="4788" w:type="dxa"/>
          </w:tcPr>
          <w:p w:rsidR="00D245FF" w:rsidRPr="004B08B7" w:rsidRDefault="00D245FF" w:rsidP="00A15BF5">
            <w:pPr>
              <w:pStyle w:val="NoSpacing"/>
              <w:rPr>
                <w:sz w:val="24"/>
              </w:rPr>
            </w:pPr>
            <w:r w:rsidRPr="004B08B7">
              <w:rPr>
                <w:sz w:val="24"/>
              </w:rPr>
              <w:t>B. Per Student Group</w:t>
            </w:r>
          </w:p>
          <w:p w:rsidR="00D245FF" w:rsidRPr="004B08B7" w:rsidRDefault="00D245FF" w:rsidP="00A15BF5">
            <w:pPr>
              <w:pStyle w:val="NoSpacing"/>
              <w:rPr>
                <w:sz w:val="24"/>
              </w:rPr>
            </w:pPr>
            <w:r w:rsidRPr="004B08B7">
              <w:rPr>
                <w:sz w:val="24"/>
              </w:rPr>
              <w:t xml:space="preserve">Index card </w:t>
            </w:r>
          </w:p>
          <w:p w:rsidR="00D245FF" w:rsidRPr="004B08B7" w:rsidRDefault="00D245FF" w:rsidP="00A15BF5">
            <w:pPr>
              <w:pStyle w:val="NoSpacing"/>
              <w:rPr>
                <w:sz w:val="24"/>
              </w:rPr>
            </w:pPr>
            <w:r w:rsidRPr="004B08B7">
              <w:rPr>
                <w:sz w:val="24"/>
              </w:rPr>
              <w:t>20 mL glass scintillation vial with cap</w:t>
            </w:r>
          </w:p>
          <w:p w:rsidR="00D245FF" w:rsidRPr="004B08B7" w:rsidRDefault="00D245FF" w:rsidP="00A15BF5">
            <w:pPr>
              <w:pStyle w:val="NoSpacing"/>
              <w:rPr>
                <w:sz w:val="24"/>
              </w:rPr>
            </w:pPr>
            <w:r w:rsidRPr="004B08B7">
              <w:rPr>
                <w:sz w:val="24"/>
              </w:rPr>
              <w:t>Weighing paper</w:t>
            </w:r>
          </w:p>
          <w:p w:rsidR="004B08B7" w:rsidRDefault="00D245FF" w:rsidP="00A15BF5">
            <w:pPr>
              <w:pStyle w:val="NoSpacing"/>
              <w:rPr>
                <w:sz w:val="24"/>
              </w:rPr>
            </w:pPr>
            <w:r w:rsidRPr="004B08B7">
              <w:rPr>
                <w:sz w:val="24"/>
              </w:rPr>
              <w:t>Weighing boats or other vessels to transport</w:t>
            </w:r>
          </w:p>
          <w:p w:rsidR="00D245FF" w:rsidRDefault="00D245FF" w:rsidP="00A15BF5">
            <w:pPr>
              <w:pStyle w:val="NoSpacing"/>
              <w:rPr>
                <w:sz w:val="24"/>
              </w:rPr>
            </w:pPr>
            <w:r w:rsidRPr="004B08B7">
              <w:rPr>
                <w:sz w:val="24"/>
              </w:rPr>
              <w:t xml:space="preserve"> </w:t>
            </w:r>
            <w:r w:rsidR="004B08B7">
              <w:rPr>
                <w:sz w:val="24"/>
              </w:rPr>
              <w:t xml:space="preserve">  </w:t>
            </w:r>
            <w:r w:rsidRPr="004B08B7">
              <w:rPr>
                <w:sz w:val="24"/>
              </w:rPr>
              <w:t>small amounts of sugar</w:t>
            </w:r>
          </w:p>
          <w:p w:rsidR="00F65677" w:rsidRPr="00F65677" w:rsidRDefault="00F65677" w:rsidP="00A15BF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(Groups</w:t>
            </w:r>
            <w:r w:rsidRPr="00F65677">
              <w:rPr>
                <w:sz w:val="24"/>
              </w:rPr>
              <w:t xml:space="preserve"> assigned export production will need the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0.1 g balance.)</w:t>
            </w:r>
          </w:p>
        </w:tc>
      </w:tr>
    </w:tbl>
    <w:p w:rsidR="00D245FF" w:rsidRPr="004B08B7" w:rsidRDefault="00785DCF" w:rsidP="00A15BF5">
      <w:pPr>
        <w:pStyle w:val="NoSpacing"/>
        <w:rPr>
          <w:sz w:val="24"/>
        </w:rPr>
      </w:pPr>
      <w:r w:rsidRPr="004B08B7">
        <w:rPr>
          <w:i/>
          <w:sz w:val="24"/>
        </w:rPr>
        <w:lastRenderedPageBreak/>
        <w:t>Activity</w:t>
      </w:r>
      <w:r w:rsidR="00E90DA7" w:rsidRPr="004B08B7">
        <w:rPr>
          <w:i/>
          <w:sz w:val="24"/>
        </w:rPr>
        <w:t xml:space="preserve"> Outline</w:t>
      </w:r>
    </w:p>
    <w:p w:rsidR="00011FD8" w:rsidRDefault="005A5676" w:rsidP="002578B8">
      <w:pPr>
        <w:pStyle w:val="NoSpacing"/>
        <w:numPr>
          <w:ilvl w:val="0"/>
          <w:numId w:val="2"/>
        </w:numPr>
        <w:ind w:left="360"/>
        <w:rPr>
          <w:sz w:val="24"/>
        </w:rPr>
      </w:pPr>
      <w:r w:rsidRPr="004B08B7">
        <w:rPr>
          <w:sz w:val="24"/>
        </w:rPr>
        <w:t>Instructor questions students about primary production</w:t>
      </w:r>
      <w:r w:rsidR="00F65677">
        <w:rPr>
          <w:sz w:val="24"/>
        </w:rPr>
        <w:t xml:space="preserve">: </w:t>
      </w:r>
      <w:r w:rsidRPr="004B08B7">
        <w:rPr>
          <w:sz w:val="24"/>
        </w:rPr>
        <w:t xml:space="preserve"> </w:t>
      </w:r>
      <w:r w:rsidR="00F65677">
        <w:rPr>
          <w:sz w:val="24"/>
        </w:rPr>
        <w:t>W</w:t>
      </w:r>
      <w:r w:rsidRPr="004B08B7">
        <w:rPr>
          <w:sz w:val="24"/>
        </w:rPr>
        <w:t xml:space="preserve">hat does </w:t>
      </w:r>
      <w:r w:rsidR="00864825" w:rsidRPr="004B08B7">
        <w:rPr>
          <w:sz w:val="24"/>
        </w:rPr>
        <w:t>the term</w:t>
      </w:r>
      <w:r w:rsidRPr="004B08B7">
        <w:rPr>
          <w:sz w:val="24"/>
        </w:rPr>
        <w:t xml:space="preserve"> mean? </w:t>
      </w:r>
      <w:r w:rsidR="00F65677">
        <w:rPr>
          <w:sz w:val="24"/>
        </w:rPr>
        <w:t>H</w:t>
      </w:r>
      <w:r w:rsidRPr="004B08B7">
        <w:rPr>
          <w:sz w:val="24"/>
        </w:rPr>
        <w:t xml:space="preserve">ow does it relate to photosynthesis? </w:t>
      </w:r>
      <w:r w:rsidR="00F65677">
        <w:rPr>
          <w:sz w:val="24"/>
        </w:rPr>
        <w:t>How</w:t>
      </w:r>
      <w:r w:rsidR="00357B81">
        <w:rPr>
          <w:sz w:val="24"/>
        </w:rPr>
        <w:t xml:space="preserve"> </w:t>
      </w:r>
      <w:r w:rsidRPr="004B08B7">
        <w:rPr>
          <w:sz w:val="24"/>
        </w:rPr>
        <w:t>can photosynthesis be represented by a chemical equation?</w:t>
      </w:r>
    </w:p>
    <w:p w:rsidR="00254871" w:rsidRPr="00254871" w:rsidRDefault="00254871" w:rsidP="00254871">
      <w:pPr>
        <w:pStyle w:val="NoSpacing"/>
        <w:ind w:left="360"/>
        <w:rPr>
          <w:sz w:val="8"/>
        </w:rPr>
      </w:pPr>
    </w:p>
    <w:p w:rsidR="005A5676" w:rsidRPr="004B08B7" w:rsidRDefault="005A5676" w:rsidP="002578B8">
      <w:pPr>
        <w:pStyle w:val="NoSpacing"/>
        <w:numPr>
          <w:ilvl w:val="0"/>
          <w:numId w:val="2"/>
        </w:numPr>
        <w:ind w:left="360"/>
        <w:rPr>
          <w:sz w:val="24"/>
        </w:rPr>
      </w:pPr>
      <w:r w:rsidRPr="004B08B7">
        <w:rPr>
          <w:sz w:val="24"/>
        </w:rPr>
        <w:t xml:space="preserve">With help from students, </w:t>
      </w:r>
      <w:r w:rsidR="00357B81">
        <w:rPr>
          <w:sz w:val="24"/>
        </w:rPr>
        <w:t xml:space="preserve">the </w:t>
      </w:r>
      <w:r w:rsidRPr="004B08B7">
        <w:rPr>
          <w:sz w:val="24"/>
        </w:rPr>
        <w:t>instructor writes a simple equation for photosynthesis on the board:</w:t>
      </w:r>
    </w:p>
    <w:p w:rsidR="005A5676" w:rsidRPr="004B08B7" w:rsidRDefault="005A5676" w:rsidP="00357B81">
      <w:pPr>
        <w:pStyle w:val="NoSpacing"/>
        <w:ind w:left="1440" w:firstLine="360"/>
        <w:rPr>
          <w:sz w:val="24"/>
        </w:rPr>
      </w:pPr>
      <w:r w:rsidRPr="004B08B7">
        <w:rPr>
          <w:sz w:val="24"/>
        </w:rPr>
        <w:t>CO</w:t>
      </w:r>
      <w:r w:rsidRPr="004B08B7">
        <w:rPr>
          <w:sz w:val="24"/>
          <w:vertAlign w:val="subscript"/>
        </w:rPr>
        <w:t>2</w:t>
      </w:r>
      <w:r w:rsidRPr="004B08B7">
        <w:rPr>
          <w:sz w:val="24"/>
        </w:rPr>
        <w:softHyphen/>
        <w:t xml:space="preserve">  +  H</w:t>
      </w:r>
      <w:r w:rsidRPr="004B08B7">
        <w:rPr>
          <w:sz w:val="24"/>
          <w:vertAlign w:val="subscript"/>
        </w:rPr>
        <w:t>2</w:t>
      </w:r>
      <w:r w:rsidRPr="004B08B7">
        <w:rPr>
          <w:sz w:val="24"/>
        </w:rPr>
        <w:t xml:space="preserve">O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</w:rPr>
                  <m:t>light</m:t>
                </m:r>
              </m:e>
            </m:groupChr>
          </m:e>
        </m:box>
      </m:oMath>
      <w:r w:rsidRPr="004B08B7">
        <w:rPr>
          <w:sz w:val="24"/>
        </w:rPr>
        <w:t xml:space="preserve">  organic matter + O</w:t>
      </w:r>
      <w:r w:rsidRPr="004B08B7">
        <w:rPr>
          <w:sz w:val="24"/>
          <w:vertAlign w:val="subscript"/>
        </w:rPr>
        <w:t>2</w:t>
      </w:r>
      <w:r w:rsidRPr="004B08B7">
        <w:rPr>
          <w:sz w:val="24"/>
        </w:rPr>
        <w:t xml:space="preserve"> </w:t>
      </w:r>
    </w:p>
    <w:p w:rsidR="00254871" w:rsidRPr="00254871" w:rsidRDefault="00254871" w:rsidP="00254871">
      <w:pPr>
        <w:pStyle w:val="NoSpacing"/>
        <w:ind w:left="360"/>
        <w:rPr>
          <w:sz w:val="8"/>
          <w:szCs w:val="8"/>
        </w:rPr>
      </w:pPr>
    </w:p>
    <w:p w:rsidR="005A5676" w:rsidRPr="004B08B7" w:rsidRDefault="00357B81" w:rsidP="002578B8">
      <w:pPr>
        <w:pStyle w:val="NoSpacing"/>
        <w:numPr>
          <w:ilvl w:val="0"/>
          <w:numId w:val="2"/>
        </w:numPr>
        <w:ind w:left="360"/>
        <w:rPr>
          <w:sz w:val="24"/>
        </w:rPr>
      </w:pPr>
      <w:r>
        <w:rPr>
          <w:sz w:val="24"/>
        </w:rPr>
        <w:t>The i</w:t>
      </w:r>
      <w:r w:rsidR="005A5676" w:rsidRPr="004B08B7">
        <w:rPr>
          <w:sz w:val="24"/>
        </w:rPr>
        <w:t xml:space="preserve">nstructor </w:t>
      </w:r>
      <w:r>
        <w:rPr>
          <w:sz w:val="24"/>
        </w:rPr>
        <w:t>shows</w:t>
      </w:r>
      <w:r w:rsidR="00864825" w:rsidRPr="004B08B7">
        <w:rPr>
          <w:sz w:val="24"/>
        </w:rPr>
        <w:t xml:space="preserve"> the bag of</w:t>
      </w:r>
      <w:r w:rsidR="005A5676" w:rsidRPr="004B08B7">
        <w:rPr>
          <w:sz w:val="24"/>
        </w:rPr>
        <w:t xml:space="preserve"> sugar and asks how </w:t>
      </w:r>
      <w:r w:rsidR="00864825" w:rsidRPr="004B08B7">
        <w:rPr>
          <w:sz w:val="24"/>
        </w:rPr>
        <w:t xml:space="preserve">it </w:t>
      </w:r>
      <w:r w:rsidR="005A5676" w:rsidRPr="004B08B7">
        <w:rPr>
          <w:sz w:val="24"/>
        </w:rPr>
        <w:t>relates to the formula</w:t>
      </w:r>
      <w:r w:rsidR="00644C91" w:rsidRPr="004B08B7">
        <w:rPr>
          <w:sz w:val="24"/>
        </w:rPr>
        <w:t>.</w:t>
      </w:r>
    </w:p>
    <w:p w:rsidR="005A5676" w:rsidRPr="004B08B7" w:rsidRDefault="00644C91" w:rsidP="002578B8">
      <w:pPr>
        <w:pStyle w:val="NoSpacing"/>
        <w:ind w:left="360"/>
        <w:rPr>
          <w:sz w:val="24"/>
        </w:rPr>
      </w:pPr>
      <w:r w:rsidRPr="004B08B7">
        <w:rPr>
          <w:sz w:val="24"/>
        </w:rPr>
        <w:t xml:space="preserve">Students suggest that glucose can approximate organic matter in the </w:t>
      </w:r>
      <w:r w:rsidR="00864825" w:rsidRPr="004B08B7">
        <w:rPr>
          <w:sz w:val="24"/>
        </w:rPr>
        <w:t>equation</w:t>
      </w:r>
      <w:r w:rsidR="005A5676" w:rsidRPr="004B08B7">
        <w:rPr>
          <w:sz w:val="24"/>
        </w:rPr>
        <w:t>:</w:t>
      </w:r>
    </w:p>
    <w:p w:rsidR="005A5676" w:rsidRDefault="005A5676" w:rsidP="00357B81">
      <w:pPr>
        <w:pStyle w:val="NoSpacing"/>
        <w:ind w:left="1440" w:firstLine="360"/>
        <w:rPr>
          <w:sz w:val="24"/>
          <w:vertAlign w:val="subscript"/>
        </w:rPr>
      </w:pPr>
      <w:r w:rsidRPr="004B08B7">
        <w:rPr>
          <w:sz w:val="24"/>
        </w:rPr>
        <w:t>6CO</w:t>
      </w:r>
      <w:r w:rsidRPr="004B08B7">
        <w:rPr>
          <w:sz w:val="24"/>
          <w:vertAlign w:val="subscript"/>
        </w:rPr>
        <w:t>2</w:t>
      </w:r>
      <w:r w:rsidRPr="004B08B7">
        <w:rPr>
          <w:sz w:val="24"/>
        </w:rPr>
        <w:t xml:space="preserve">  + 6H</w:t>
      </w:r>
      <w:r w:rsidRPr="004B08B7">
        <w:rPr>
          <w:sz w:val="24"/>
          <w:vertAlign w:val="subscript"/>
        </w:rPr>
        <w:t>2</w:t>
      </w:r>
      <w:r w:rsidRPr="004B08B7">
        <w:rPr>
          <w:sz w:val="24"/>
        </w:rPr>
        <w:t xml:space="preserve">O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</w:rPr>
                  <m:t>light</m:t>
                </m:r>
              </m:e>
            </m:groupChr>
          </m:e>
        </m:box>
      </m:oMath>
      <w:r w:rsidR="00644C91" w:rsidRPr="004B08B7">
        <w:rPr>
          <w:sz w:val="24"/>
        </w:rPr>
        <w:t xml:space="preserve">  </w:t>
      </w:r>
      <w:r w:rsidRPr="004B08B7">
        <w:rPr>
          <w:sz w:val="24"/>
        </w:rPr>
        <w:t>C</w:t>
      </w:r>
      <w:r w:rsidRPr="004B08B7">
        <w:rPr>
          <w:sz w:val="24"/>
          <w:vertAlign w:val="subscript"/>
        </w:rPr>
        <w:t>6</w:t>
      </w:r>
      <w:r w:rsidRPr="004B08B7">
        <w:rPr>
          <w:sz w:val="24"/>
        </w:rPr>
        <w:t>H</w:t>
      </w:r>
      <w:r w:rsidRPr="004B08B7">
        <w:rPr>
          <w:sz w:val="24"/>
          <w:vertAlign w:val="subscript"/>
        </w:rPr>
        <w:t>12</w:t>
      </w:r>
      <w:r w:rsidRPr="004B08B7">
        <w:rPr>
          <w:sz w:val="24"/>
        </w:rPr>
        <w:t>O</w:t>
      </w:r>
      <w:r w:rsidRPr="004B08B7">
        <w:rPr>
          <w:sz w:val="24"/>
          <w:vertAlign w:val="subscript"/>
        </w:rPr>
        <w:t>6</w:t>
      </w:r>
      <w:r w:rsidRPr="004B08B7">
        <w:rPr>
          <w:sz w:val="24"/>
        </w:rPr>
        <w:t xml:space="preserve">  + 6O</w:t>
      </w:r>
      <w:r w:rsidRPr="004B08B7">
        <w:rPr>
          <w:sz w:val="24"/>
          <w:vertAlign w:val="subscript"/>
        </w:rPr>
        <w:t>2</w:t>
      </w:r>
    </w:p>
    <w:p w:rsidR="00254871" w:rsidRPr="00254871" w:rsidRDefault="00254871" w:rsidP="00357B81">
      <w:pPr>
        <w:pStyle w:val="NoSpacing"/>
        <w:ind w:left="1440" w:firstLine="360"/>
        <w:rPr>
          <w:sz w:val="8"/>
          <w:szCs w:val="8"/>
        </w:rPr>
      </w:pPr>
    </w:p>
    <w:p w:rsidR="005A5676" w:rsidRDefault="00357B81" w:rsidP="002578B8">
      <w:pPr>
        <w:pStyle w:val="NoSpacing"/>
        <w:numPr>
          <w:ilvl w:val="0"/>
          <w:numId w:val="2"/>
        </w:numPr>
        <w:ind w:left="360"/>
        <w:rPr>
          <w:sz w:val="24"/>
        </w:rPr>
      </w:pPr>
      <w:r>
        <w:rPr>
          <w:sz w:val="24"/>
        </w:rPr>
        <w:t>The i</w:t>
      </w:r>
      <w:r w:rsidR="005A5676" w:rsidRPr="004B08B7">
        <w:rPr>
          <w:sz w:val="24"/>
        </w:rPr>
        <w:t xml:space="preserve">nstructor </w:t>
      </w:r>
      <w:r w:rsidR="00644C91" w:rsidRPr="004B08B7">
        <w:rPr>
          <w:sz w:val="24"/>
        </w:rPr>
        <w:t xml:space="preserve">shows the meter stick and asks students how much organic matter they think each square meter of ocean surface produces </w:t>
      </w:r>
      <w:r>
        <w:rPr>
          <w:sz w:val="24"/>
        </w:rPr>
        <w:t>daily. (</w:t>
      </w:r>
      <w:r w:rsidR="00644C91" w:rsidRPr="004B08B7">
        <w:rPr>
          <w:sz w:val="24"/>
        </w:rPr>
        <w:t>Students may suggest th</w:t>
      </w:r>
      <w:r w:rsidR="00864825" w:rsidRPr="004B08B7">
        <w:rPr>
          <w:sz w:val="24"/>
        </w:rPr>
        <w:t>e amount</w:t>
      </w:r>
      <w:r w:rsidR="00644C91" w:rsidRPr="004B08B7">
        <w:rPr>
          <w:sz w:val="24"/>
        </w:rPr>
        <w:t xml:space="preserve"> will vary by type of environment and availability of</w:t>
      </w:r>
      <w:r w:rsidR="002578B8" w:rsidRPr="004B08B7">
        <w:rPr>
          <w:sz w:val="24"/>
        </w:rPr>
        <w:t xml:space="preserve"> nutrients and light.</w:t>
      </w:r>
      <w:r w:rsidR="00644C91" w:rsidRPr="004B08B7">
        <w:rPr>
          <w:sz w:val="24"/>
        </w:rPr>
        <w:t>)</w:t>
      </w:r>
    </w:p>
    <w:p w:rsidR="00254871" w:rsidRPr="00254871" w:rsidRDefault="00254871" w:rsidP="00254871">
      <w:pPr>
        <w:pStyle w:val="NoSpacing"/>
        <w:ind w:left="360"/>
        <w:rPr>
          <w:sz w:val="8"/>
          <w:szCs w:val="8"/>
        </w:rPr>
      </w:pPr>
    </w:p>
    <w:p w:rsidR="005A5676" w:rsidRPr="004B08B7" w:rsidRDefault="005A5676" w:rsidP="002578B8">
      <w:pPr>
        <w:pStyle w:val="NoSpacing"/>
        <w:numPr>
          <w:ilvl w:val="0"/>
          <w:numId w:val="2"/>
        </w:numPr>
        <w:ind w:left="360"/>
        <w:rPr>
          <w:sz w:val="24"/>
        </w:rPr>
      </w:pPr>
      <w:r w:rsidRPr="004B08B7">
        <w:rPr>
          <w:i/>
          <w:sz w:val="24"/>
        </w:rPr>
        <w:t>Introductory class</w:t>
      </w:r>
      <w:r w:rsidRPr="004B08B7">
        <w:rPr>
          <w:sz w:val="24"/>
        </w:rPr>
        <w:t>:  instructor writes a conversion factor on the board</w:t>
      </w:r>
      <w:r w:rsidR="002578B8" w:rsidRPr="004B08B7">
        <w:rPr>
          <w:sz w:val="24"/>
        </w:rPr>
        <w:t>:  1 gram carbon = 2.5 grams glucose</w:t>
      </w:r>
    </w:p>
    <w:p w:rsidR="002578B8" w:rsidRPr="004B08B7" w:rsidRDefault="002578B8" w:rsidP="002578B8">
      <w:pPr>
        <w:pStyle w:val="NoSpacing"/>
        <w:ind w:left="360"/>
        <w:rPr>
          <w:sz w:val="24"/>
        </w:rPr>
      </w:pPr>
      <w:r w:rsidRPr="004B08B7">
        <w:rPr>
          <w:i/>
          <w:sz w:val="24"/>
        </w:rPr>
        <w:t>C</w:t>
      </w:r>
      <w:r w:rsidR="00B8172F">
        <w:rPr>
          <w:i/>
          <w:sz w:val="24"/>
        </w:rPr>
        <w:t>ourse</w:t>
      </w:r>
      <w:r w:rsidRPr="004B08B7">
        <w:rPr>
          <w:i/>
          <w:sz w:val="24"/>
        </w:rPr>
        <w:t xml:space="preserve"> with students who </w:t>
      </w:r>
      <w:r w:rsidR="00B8172F">
        <w:rPr>
          <w:i/>
          <w:sz w:val="24"/>
        </w:rPr>
        <w:t>took</w:t>
      </w:r>
      <w:r w:rsidRPr="004B08B7">
        <w:rPr>
          <w:i/>
          <w:sz w:val="24"/>
        </w:rPr>
        <w:t xml:space="preserve"> chemistry</w:t>
      </w:r>
      <w:r w:rsidRPr="004B08B7">
        <w:rPr>
          <w:sz w:val="24"/>
        </w:rPr>
        <w:t>:  students calculate the conversion factor:</w:t>
      </w:r>
    </w:p>
    <w:p w:rsidR="002578B8" w:rsidRPr="004B08B7" w:rsidRDefault="002578B8" w:rsidP="002578B8">
      <w:pPr>
        <w:pStyle w:val="NoSpacing"/>
        <w:ind w:left="360"/>
        <w:rPr>
          <w:sz w:val="24"/>
        </w:rPr>
      </w:pPr>
      <w:r w:rsidRPr="004B08B7">
        <w:rPr>
          <w:sz w:val="24"/>
        </w:rPr>
        <w:t>1 gram carbon * 180 grams glucose/72 g carbon = 2.5 grams glucose</w:t>
      </w:r>
      <w:r w:rsidR="00F40C25" w:rsidRPr="004B08B7">
        <w:rPr>
          <w:sz w:val="24"/>
        </w:rPr>
        <w:t xml:space="preserve"> </w:t>
      </w:r>
    </w:p>
    <w:p w:rsidR="00F40C25" w:rsidRDefault="00F40C25" w:rsidP="002578B8">
      <w:pPr>
        <w:pStyle w:val="NoSpacing"/>
        <w:ind w:left="360"/>
        <w:rPr>
          <w:sz w:val="24"/>
        </w:rPr>
      </w:pPr>
      <w:r w:rsidRPr="004B08B7">
        <w:rPr>
          <w:i/>
          <w:sz w:val="24"/>
        </w:rPr>
        <w:t>or</w:t>
      </w:r>
      <w:r w:rsidRPr="004B08B7">
        <w:rPr>
          <w:sz w:val="24"/>
        </w:rPr>
        <w:t xml:space="preserve">  </w:t>
      </w:r>
      <w:r w:rsidR="00357B81">
        <w:rPr>
          <w:sz w:val="24"/>
        </w:rPr>
        <w:t>(</w:t>
      </w:r>
      <w:r w:rsidRPr="004B08B7">
        <w:rPr>
          <w:sz w:val="24"/>
        </w:rPr>
        <w:t>1 g C * 1 mol C/12 g C</w:t>
      </w:r>
      <w:r w:rsidR="00357B81">
        <w:rPr>
          <w:sz w:val="24"/>
        </w:rPr>
        <w:t>)</w:t>
      </w:r>
      <w:r w:rsidRPr="004B08B7">
        <w:rPr>
          <w:sz w:val="24"/>
        </w:rPr>
        <w:t xml:space="preserve"> * </w:t>
      </w:r>
      <w:r w:rsidR="00254871">
        <w:rPr>
          <w:sz w:val="24"/>
        </w:rPr>
        <w:t>(</w:t>
      </w:r>
      <w:r w:rsidRPr="004B08B7">
        <w:rPr>
          <w:sz w:val="24"/>
        </w:rPr>
        <w:t>1 mol glucose/6 mol C</w:t>
      </w:r>
      <w:r w:rsidR="00254871">
        <w:rPr>
          <w:sz w:val="24"/>
        </w:rPr>
        <w:t>)</w:t>
      </w:r>
      <w:r w:rsidRPr="004B08B7">
        <w:rPr>
          <w:sz w:val="24"/>
        </w:rPr>
        <w:t xml:space="preserve"> * </w:t>
      </w:r>
      <w:r w:rsidR="00254871">
        <w:rPr>
          <w:sz w:val="24"/>
        </w:rPr>
        <w:t>(</w:t>
      </w:r>
      <w:r w:rsidRPr="004B08B7">
        <w:rPr>
          <w:sz w:val="24"/>
        </w:rPr>
        <w:t>180 g glucose/1 mol glucose</w:t>
      </w:r>
      <w:r w:rsidR="00254871">
        <w:rPr>
          <w:sz w:val="24"/>
        </w:rPr>
        <w:t>)</w:t>
      </w:r>
      <w:r w:rsidRPr="004B08B7">
        <w:rPr>
          <w:sz w:val="24"/>
        </w:rPr>
        <w:t xml:space="preserve"> = 2.5 g glucose</w:t>
      </w:r>
    </w:p>
    <w:p w:rsidR="00254871" w:rsidRPr="00254871" w:rsidRDefault="00254871" w:rsidP="00254871">
      <w:pPr>
        <w:pStyle w:val="NoSpacing"/>
        <w:rPr>
          <w:sz w:val="8"/>
          <w:szCs w:val="8"/>
        </w:rPr>
      </w:pPr>
    </w:p>
    <w:p w:rsidR="002578B8" w:rsidRDefault="002578B8" w:rsidP="002578B8">
      <w:pPr>
        <w:pStyle w:val="NoSpacing"/>
        <w:numPr>
          <w:ilvl w:val="0"/>
          <w:numId w:val="3"/>
        </w:numPr>
        <w:rPr>
          <w:sz w:val="24"/>
        </w:rPr>
      </w:pPr>
      <w:r w:rsidRPr="004B08B7">
        <w:rPr>
          <w:sz w:val="24"/>
        </w:rPr>
        <w:t xml:space="preserve">Students </w:t>
      </w:r>
      <w:r w:rsidR="00B8172F">
        <w:rPr>
          <w:sz w:val="24"/>
        </w:rPr>
        <w:t>form</w:t>
      </w:r>
      <w:r w:rsidRPr="004B08B7">
        <w:rPr>
          <w:sz w:val="24"/>
        </w:rPr>
        <w:t xml:space="preserve"> into groups </w:t>
      </w:r>
      <w:r w:rsidR="00254871">
        <w:rPr>
          <w:sz w:val="24"/>
        </w:rPr>
        <w:t>(2</w:t>
      </w:r>
      <w:r w:rsidRPr="004B08B7">
        <w:rPr>
          <w:sz w:val="24"/>
        </w:rPr>
        <w:t>-5</w:t>
      </w:r>
      <w:r w:rsidR="00254871">
        <w:rPr>
          <w:sz w:val="24"/>
        </w:rPr>
        <w:t xml:space="preserve"> students</w:t>
      </w:r>
      <w:r w:rsidR="00F65677">
        <w:rPr>
          <w:sz w:val="24"/>
        </w:rPr>
        <w:t xml:space="preserve"> each</w:t>
      </w:r>
      <w:r w:rsidR="00254871">
        <w:rPr>
          <w:sz w:val="24"/>
        </w:rPr>
        <w:t>)</w:t>
      </w:r>
      <w:r w:rsidRPr="004B08B7">
        <w:rPr>
          <w:sz w:val="24"/>
        </w:rPr>
        <w:t>. Each group receives</w:t>
      </w:r>
      <w:r w:rsidR="00F40C25" w:rsidRPr="004B08B7">
        <w:rPr>
          <w:sz w:val="24"/>
        </w:rPr>
        <w:t xml:space="preserve"> an</w:t>
      </w:r>
      <w:r w:rsidRPr="004B08B7">
        <w:rPr>
          <w:sz w:val="24"/>
        </w:rPr>
        <w:t xml:space="preserve"> index card with a </w:t>
      </w:r>
      <w:r w:rsidR="00254871">
        <w:rPr>
          <w:sz w:val="24"/>
        </w:rPr>
        <w:t xml:space="preserve">rate of </w:t>
      </w:r>
      <w:r w:rsidRPr="004B08B7">
        <w:rPr>
          <w:sz w:val="24"/>
        </w:rPr>
        <w:t xml:space="preserve">primary production (see next page) </w:t>
      </w:r>
      <w:r w:rsidR="00297566" w:rsidRPr="004B08B7">
        <w:rPr>
          <w:sz w:val="24"/>
        </w:rPr>
        <w:t xml:space="preserve">expressed </w:t>
      </w:r>
      <w:r w:rsidRPr="004B08B7">
        <w:rPr>
          <w:sz w:val="24"/>
        </w:rPr>
        <w:t>in grams C/m</w:t>
      </w:r>
      <w:r w:rsidRPr="004B08B7">
        <w:rPr>
          <w:sz w:val="24"/>
          <w:vertAlign w:val="superscript"/>
        </w:rPr>
        <w:t>2</w:t>
      </w:r>
      <w:r w:rsidRPr="004B08B7">
        <w:rPr>
          <w:sz w:val="24"/>
        </w:rPr>
        <w:t xml:space="preserve"> day, but with no other information.</w:t>
      </w:r>
      <w:r w:rsidR="00F40C25" w:rsidRPr="004B08B7">
        <w:rPr>
          <w:sz w:val="24"/>
        </w:rPr>
        <w:t xml:space="preserve"> The </w:t>
      </w:r>
      <w:r w:rsidR="009F4EAB" w:rsidRPr="004B08B7">
        <w:rPr>
          <w:sz w:val="24"/>
        </w:rPr>
        <w:t>writing</w:t>
      </w:r>
      <w:r w:rsidR="00F40C25" w:rsidRPr="004B08B7">
        <w:rPr>
          <w:sz w:val="24"/>
        </w:rPr>
        <w:t xml:space="preserve"> is large enough to be visible in the back of the </w:t>
      </w:r>
      <w:r w:rsidR="00B8172F">
        <w:rPr>
          <w:sz w:val="24"/>
        </w:rPr>
        <w:t>room</w:t>
      </w:r>
      <w:r w:rsidR="00F40C25" w:rsidRPr="004B08B7">
        <w:rPr>
          <w:sz w:val="24"/>
        </w:rPr>
        <w:t>.</w:t>
      </w:r>
    </w:p>
    <w:p w:rsidR="00254871" w:rsidRPr="00254871" w:rsidRDefault="00254871" w:rsidP="00254871">
      <w:pPr>
        <w:pStyle w:val="NoSpacing"/>
        <w:ind w:left="360"/>
        <w:rPr>
          <w:sz w:val="8"/>
          <w:szCs w:val="8"/>
        </w:rPr>
      </w:pPr>
    </w:p>
    <w:p w:rsidR="002578B8" w:rsidRDefault="002578B8" w:rsidP="002578B8">
      <w:pPr>
        <w:pStyle w:val="NoSpacing"/>
        <w:numPr>
          <w:ilvl w:val="0"/>
          <w:numId w:val="3"/>
        </w:numPr>
        <w:rPr>
          <w:sz w:val="24"/>
        </w:rPr>
      </w:pPr>
      <w:r w:rsidRPr="004B08B7">
        <w:rPr>
          <w:sz w:val="24"/>
        </w:rPr>
        <w:t xml:space="preserve">Students calculate the </w:t>
      </w:r>
      <w:r w:rsidR="00F40C25" w:rsidRPr="004B08B7">
        <w:rPr>
          <w:sz w:val="24"/>
        </w:rPr>
        <w:t>mass</w:t>
      </w:r>
      <w:r w:rsidRPr="004B08B7">
        <w:rPr>
          <w:sz w:val="24"/>
        </w:rPr>
        <w:t xml:space="preserve"> of glucose corresponding to their assigned rate. Students weigh and transfer this </w:t>
      </w:r>
      <w:r w:rsidR="00F40C25" w:rsidRPr="004B08B7">
        <w:rPr>
          <w:sz w:val="24"/>
        </w:rPr>
        <w:t>mass</w:t>
      </w:r>
      <w:r w:rsidRPr="004B08B7">
        <w:rPr>
          <w:sz w:val="24"/>
        </w:rPr>
        <w:t xml:space="preserve"> to </w:t>
      </w:r>
      <w:r w:rsidR="00297566" w:rsidRPr="004B08B7">
        <w:rPr>
          <w:sz w:val="24"/>
        </w:rPr>
        <w:t xml:space="preserve">a </w:t>
      </w:r>
      <w:r w:rsidRPr="004B08B7">
        <w:rPr>
          <w:sz w:val="24"/>
        </w:rPr>
        <w:t>vial</w:t>
      </w:r>
      <w:r w:rsidR="00297566" w:rsidRPr="004B08B7">
        <w:rPr>
          <w:sz w:val="24"/>
        </w:rPr>
        <w:t xml:space="preserve"> and label </w:t>
      </w:r>
      <w:r w:rsidR="00F65677">
        <w:rPr>
          <w:sz w:val="24"/>
        </w:rPr>
        <w:t>the vial</w:t>
      </w:r>
      <w:r w:rsidRPr="004B08B7">
        <w:rPr>
          <w:sz w:val="24"/>
        </w:rPr>
        <w:t xml:space="preserve">. </w:t>
      </w:r>
    </w:p>
    <w:p w:rsidR="00254871" w:rsidRPr="00254871" w:rsidRDefault="00254871" w:rsidP="00254871">
      <w:pPr>
        <w:pStyle w:val="NoSpacing"/>
        <w:ind w:left="360"/>
        <w:rPr>
          <w:sz w:val="8"/>
          <w:szCs w:val="8"/>
        </w:rPr>
      </w:pPr>
    </w:p>
    <w:p w:rsidR="00C611B4" w:rsidRDefault="00254871" w:rsidP="00C611B4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The instructor</w:t>
      </w:r>
      <w:r w:rsidR="00F40C25" w:rsidRPr="004B08B7">
        <w:rPr>
          <w:sz w:val="24"/>
        </w:rPr>
        <w:t xml:space="preserve"> </w:t>
      </w:r>
      <w:r w:rsidR="00C611B4" w:rsidRPr="004B08B7">
        <w:rPr>
          <w:sz w:val="24"/>
        </w:rPr>
        <w:t xml:space="preserve">draws a </w:t>
      </w:r>
      <w:r>
        <w:rPr>
          <w:sz w:val="24"/>
        </w:rPr>
        <w:t>rectangle</w:t>
      </w:r>
      <w:r w:rsidR="00C611B4" w:rsidRPr="004B08B7">
        <w:rPr>
          <w:sz w:val="24"/>
        </w:rPr>
        <w:t xml:space="preserve"> </w:t>
      </w:r>
      <w:r w:rsidR="00297566" w:rsidRPr="004B08B7">
        <w:rPr>
          <w:sz w:val="24"/>
        </w:rPr>
        <w:t>on</w:t>
      </w:r>
      <w:r w:rsidR="00C611B4" w:rsidRPr="004B08B7">
        <w:rPr>
          <w:sz w:val="24"/>
        </w:rPr>
        <w:t xml:space="preserve"> the board</w:t>
      </w:r>
      <w:r w:rsidR="00297566" w:rsidRPr="004B08B7">
        <w:rPr>
          <w:sz w:val="24"/>
        </w:rPr>
        <w:t>,</w:t>
      </w:r>
      <w:r w:rsidR="00C611B4" w:rsidRPr="004B08B7">
        <w:rPr>
          <w:sz w:val="24"/>
        </w:rPr>
        <w:t xml:space="preserve"> representing the ocean</w:t>
      </w:r>
      <w:r>
        <w:rPr>
          <w:sz w:val="24"/>
        </w:rPr>
        <w:t xml:space="preserve"> </w:t>
      </w:r>
      <w:r w:rsidR="00F65677">
        <w:rPr>
          <w:sz w:val="24"/>
        </w:rPr>
        <w:t>with</w:t>
      </w:r>
      <w:r w:rsidR="00C611B4" w:rsidRPr="004B08B7">
        <w:rPr>
          <w:sz w:val="24"/>
        </w:rPr>
        <w:t xml:space="preserve"> labels </w:t>
      </w:r>
      <w:r w:rsidR="009F4EAB" w:rsidRPr="004B08B7">
        <w:rPr>
          <w:sz w:val="24"/>
        </w:rPr>
        <w:t xml:space="preserve">for </w:t>
      </w:r>
      <w:r w:rsidR="00C611B4" w:rsidRPr="004B08B7">
        <w:rPr>
          <w:sz w:val="24"/>
        </w:rPr>
        <w:t xml:space="preserve">different environments (coastal, upwelling, open ocean etc.). As groups finish, they place their vials </w:t>
      </w:r>
      <w:r w:rsidR="00F40C25" w:rsidRPr="004B08B7">
        <w:rPr>
          <w:sz w:val="24"/>
        </w:rPr>
        <w:t xml:space="preserve">and index cards </w:t>
      </w:r>
      <w:r w:rsidR="00C611B4" w:rsidRPr="004B08B7">
        <w:rPr>
          <w:sz w:val="24"/>
        </w:rPr>
        <w:t xml:space="preserve">on the chalk tray. </w:t>
      </w:r>
    </w:p>
    <w:p w:rsidR="00254871" w:rsidRPr="00254871" w:rsidRDefault="00254871" w:rsidP="00254871">
      <w:pPr>
        <w:pStyle w:val="NoSpacing"/>
        <w:ind w:left="360"/>
        <w:rPr>
          <w:sz w:val="8"/>
          <w:szCs w:val="8"/>
        </w:rPr>
      </w:pPr>
    </w:p>
    <w:p w:rsidR="00C611B4" w:rsidRDefault="00254871" w:rsidP="00C611B4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Responding to student suggestions,</w:t>
      </w:r>
      <w:r w:rsidR="00C611B4" w:rsidRPr="004B08B7">
        <w:rPr>
          <w:sz w:val="24"/>
        </w:rPr>
        <w:t xml:space="preserve"> the instructor </w:t>
      </w:r>
      <w:r w:rsidR="00F40C25" w:rsidRPr="004B08B7">
        <w:rPr>
          <w:sz w:val="24"/>
        </w:rPr>
        <w:t xml:space="preserve">rearranges the vials and index cards on the chalk tray </w:t>
      </w:r>
      <w:r w:rsidR="00B8172F">
        <w:rPr>
          <w:sz w:val="24"/>
        </w:rPr>
        <w:t>under</w:t>
      </w:r>
      <w:r>
        <w:rPr>
          <w:sz w:val="24"/>
        </w:rPr>
        <w:t xml:space="preserve"> the corresponding environments</w:t>
      </w:r>
      <w:r w:rsidR="00F40C25" w:rsidRPr="004B08B7">
        <w:rPr>
          <w:sz w:val="24"/>
        </w:rPr>
        <w:t>.</w:t>
      </w:r>
      <w:r w:rsidR="009F4EAB" w:rsidRPr="004B08B7">
        <w:rPr>
          <w:sz w:val="24"/>
        </w:rPr>
        <w:t xml:space="preserve"> (Alternatively or </w:t>
      </w:r>
      <w:r>
        <w:rPr>
          <w:sz w:val="24"/>
        </w:rPr>
        <w:t>also</w:t>
      </w:r>
      <w:r w:rsidR="009F4EAB" w:rsidRPr="004B08B7">
        <w:rPr>
          <w:sz w:val="24"/>
        </w:rPr>
        <w:t xml:space="preserve">, students could </w:t>
      </w:r>
      <w:r w:rsidR="00297566" w:rsidRPr="004B08B7">
        <w:rPr>
          <w:sz w:val="24"/>
        </w:rPr>
        <w:t>construct</w:t>
      </w:r>
      <w:r w:rsidR="009F4EAB" w:rsidRPr="004B08B7">
        <w:rPr>
          <w:sz w:val="24"/>
        </w:rPr>
        <w:t xml:space="preserve"> a table</w:t>
      </w:r>
      <w:r w:rsidR="00297566" w:rsidRPr="004B08B7">
        <w:rPr>
          <w:sz w:val="24"/>
        </w:rPr>
        <w:t xml:space="preserve"> </w:t>
      </w:r>
      <w:r>
        <w:rPr>
          <w:sz w:val="24"/>
        </w:rPr>
        <w:t>summarizing the different rates</w:t>
      </w:r>
      <w:r w:rsidR="009F4EAB" w:rsidRPr="004B08B7">
        <w:rPr>
          <w:sz w:val="24"/>
        </w:rPr>
        <w:t>.)</w:t>
      </w:r>
    </w:p>
    <w:p w:rsidR="00254871" w:rsidRPr="00254871" w:rsidRDefault="00254871" w:rsidP="00254871">
      <w:pPr>
        <w:pStyle w:val="NoSpacing"/>
        <w:ind w:left="360"/>
        <w:rPr>
          <w:sz w:val="8"/>
          <w:szCs w:val="8"/>
        </w:rPr>
      </w:pPr>
    </w:p>
    <w:p w:rsidR="00F40C25" w:rsidRDefault="00297566" w:rsidP="00C611B4">
      <w:pPr>
        <w:pStyle w:val="NoSpacing"/>
        <w:numPr>
          <w:ilvl w:val="0"/>
          <w:numId w:val="3"/>
        </w:numPr>
        <w:rPr>
          <w:sz w:val="24"/>
        </w:rPr>
      </w:pPr>
      <w:r w:rsidRPr="004B08B7">
        <w:rPr>
          <w:sz w:val="24"/>
        </w:rPr>
        <w:t>Various</w:t>
      </w:r>
      <w:r w:rsidR="009F4EAB" w:rsidRPr="004B08B7">
        <w:rPr>
          <w:sz w:val="24"/>
        </w:rPr>
        <w:t xml:space="preserve"> discussion points are possible</w:t>
      </w:r>
      <w:r w:rsidR="00254871">
        <w:rPr>
          <w:sz w:val="24"/>
        </w:rPr>
        <w:t>, including</w:t>
      </w:r>
      <w:r w:rsidR="004F6EBC" w:rsidRPr="004B08B7">
        <w:rPr>
          <w:sz w:val="24"/>
        </w:rPr>
        <w:t>:</w:t>
      </w:r>
    </w:p>
    <w:p w:rsidR="00254871" w:rsidRPr="00254871" w:rsidRDefault="00254871" w:rsidP="00254871">
      <w:pPr>
        <w:pStyle w:val="NoSpacing"/>
        <w:ind w:left="360"/>
        <w:rPr>
          <w:sz w:val="8"/>
          <w:szCs w:val="8"/>
        </w:rPr>
      </w:pPr>
    </w:p>
    <w:p w:rsidR="00961CBA" w:rsidRDefault="00961CBA" w:rsidP="00254871">
      <w:pPr>
        <w:pStyle w:val="NoSpacing"/>
        <w:ind w:left="360"/>
        <w:rPr>
          <w:sz w:val="24"/>
        </w:rPr>
      </w:pPr>
      <w:r w:rsidRPr="004B08B7">
        <w:rPr>
          <w:sz w:val="24"/>
        </w:rPr>
        <w:t>- productivity differences between environments</w:t>
      </w:r>
      <w:r w:rsidR="004F6EBC" w:rsidRPr="004B08B7">
        <w:rPr>
          <w:sz w:val="24"/>
        </w:rPr>
        <w:t xml:space="preserve"> (I usually show an animation of global chlorophyll over an annual cycle </w:t>
      </w:r>
      <w:r w:rsidR="0035373B">
        <w:rPr>
          <w:sz w:val="24"/>
        </w:rPr>
        <w:t>and ask students to explain the patterns)</w:t>
      </w:r>
    </w:p>
    <w:p w:rsidR="00254871" w:rsidRPr="00254871" w:rsidRDefault="00254871" w:rsidP="00254871">
      <w:pPr>
        <w:pStyle w:val="NoSpacing"/>
        <w:ind w:left="360"/>
        <w:rPr>
          <w:sz w:val="8"/>
          <w:szCs w:val="8"/>
        </w:rPr>
      </w:pPr>
    </w:p>
    <w:p w:rsidR="009F4EAB" w:rsidRDefault="009F4EAB" w:rsidP="00254871">
      <w:pPr>
        <w:pStyle w:val="NoSpacing"/>
        <w:ind w:left="360"/>
        <w:rPr>
          <w:sz w:val="24"/>
        </w:rPr>
      </w:pPr>
      <w:r w:rsidRPr="004B08B7">
        <w:rPr>
          <w:sz w:val="24"/>
        </w:rPr>
        <w:t xml:space="preserve">- </w:t>
      </w:r>
      <w:r w:rsidR="00F65677">
        <w:rPr>
          <w:sz w:val="24"/>
        </w:rPr>
        <w:t>a</w:t>
      </w:r>
      <w:r w:rsidR="0035373B">
        <w:rPr>
          <w:sz w:val="24"/>
        </w:rPr>
        <w:t xml:space="preserve"> small amount</w:t>
      </w:r>
      <w:r w:rsidRPr="004B08B7">
        <w:rPr>
          <w:sz w:val="24"/>
        </w:rPr>
        <w:t xml:space="preserve"> of carbon deliver</w:t>
      </w:r>
      <w:r w:rsidR="00961CBA" w:rsidRPr="004B08B7">
        <w:rPr>
          <w:sz w:val="24"/>
        </w:rPr>
        <w:t>ed</w:t>
      </w:r>
      <w:r w:rsidRPr="004B08B7">
        <w:rPr>
          <w:sz w:val="24"/>
        </w:rPr>
        <w:t xml:space="preserve"> to the deep sea </w:t>
      </w:r>
      <w:r w:rsidR="0035373B">
        <w:rPr>
          <w:sz w:val="24"/>
        </w:rPr>
        <w:t xml:space="preserve">on a daily basis </w:t>
      </w:r>
      <w:r w:rsidRPr="004B08B7">
        <w:rPr>
          <w:sz w:val="24"/>
        </w:rPr>
        <w:t xml:space="preserve">keeps the </w:t>
      </w:r>
      <w:r w:rsidR="005C5FBC" w:rsidRPr="004B08B7">
        <w:rPr>
          <w:sz w:val="24"/>
        </w:rPr>
        <w:t>benthos</w:t>
      </w:r>
      <w:r w:rsidR="00961CBA" w:rsidRPr="004B08B7">
        <w:rPr>
          <w:sz w:val="24"/>
        </w:rPr>
        <w:t xml:space="preserve"> and</w:t>
      </w:r>
      <w:r w:rsidR="005C5FBC" w:rsidRPr="004B08B7">
        <w:rPr>
          <w:sz w:val="24"/>
        </w:rPr>
        <w:t xml:space="preserve"> aphotic zone </w:t>
      </w:r>
      <w:r w:rsidR="00961CBA" w:rsidRPr="004B08B7">
        <w:rPr>
          <w:sz w:val="24"/>
        </w:rPr>
        <w:t>“fed”</w:t>
      </w:r>
      <w:r w:rsidR="005C5FBC" w:rsidRPr="004B08B7">
        <w:rPr>
          <w:sz w:val="24"/>
        </w:rPr>
        <w:t>. (Interesting comparison</w:t>
      </w:r>
      <w:r w:rsidR="004F6EBC" w:rsidRPr="004B08B7">
        <w:rPr>
          <w:sz w:val="24"/>
        </w:rPr>
        <w:t>, with the bag of sugar present</w:t>
      </w:r>
      <w:r w:rsidR="005C5FBC" w:rsidRPr="004B08B7">
        <w:rPr>
          <w:sz w:val="24"/>
        </w:rPr>
        <w:t xml:space="preserve">: the average person in the U.S. consumes 77 pounds of sugar per year </w:t>
      </w:r>
      <w:r w:rsidR="0035373B">
        <w:rPr>
          <w:sz w:val="24"/>
        </w:rPr>
        <w:t xml:space="preserve">= </w:t>
      </w:r>
      <w:r w:rsidR="003D4C3A">
        <w:rPr>
          <w:sz w:val="24"/>
        </w:rPr>
        <w:t xml:space="preserve">15.6 five pound bags </w:t>
      </w:r>
      <w:r w:rsidR="005C5FBC" w:rsidRPr="004B08B7">
        <w:rPr>
          <w:sz w:val="24"/>
        </w:rPr>
        <w:t>= 35 kg = 35,000 grams.)</w:t>
      </w:r>
    </w:p>
    <w:p w:rsidR="00254871" w:rsidRPr="00254871" w:rsidRDefault="00254871" w:rsidP="00254871">
      <w:pPr>
        <w:pStyle w:val="NoSpacing"/>
        <w:ind w:left="360"/>
        <w:rPr>
          <w:sz w:val="8"/>
          <w:szCs w:val="8"/>
        </w:rPr>
      </w:pPr>
    </w:p>
    <w:p w:rsidR="005C5FBC" w:rsidRDefault="005C5FBC" w:rsidP="00254871">
      <w:pPr>
        <w:pStyle w:val="NoSpacing"/>
        <w:ind w:left="360"/>
        <w:rPr>
          <w:sz w:val="24"/>
        </w:rPr>
      </w:pPr>
      <w:r w:rsidRPr="004B08B7">
        <w:rPr>
          <w:sz w:val="24"/>
        </w:rPr>
        <w:t xml:space="preserve">- </w:t>
      </w:r>
      <w:r w:rsidR="004F6EBC" w:rsidRPr="004B08B7">
        <w:rPr>
          <w:sz w:val="24"/>
        </w:rPr>
        <w:t>lesser</w:t>
      </w:r>
      <w:r w:rsidR="00B8172F">
        <w:rPr>
          <w:sz w:val="24"/>
        </w:rPr>
        <w:t xml:space="preserve"> </w:t>
      </w:r>
      <w:r w:rsidRPr="004B08B7">
        <w:rPr>
          <w:sz w:val="24"/>
        </w:rPr>
        <w:t>amounts of carbon are preserved in sediments (typically &lt; 1% of surface production)</w:t>
      </w:r>
      <w:r w:rsidR="00961CBA" w:rsidRPr="004B08B7">
        <w:rPr>
          <w:sz w:val="24"/>
        </w:rPr>
        <w:t xml:space="preserve"> so most carbon is recycled.</w:t>
      </w:r>
    </w:p>
    <w:p w:rsidR="00254871" w:rsidRPr="00254871" w:rsidRDefault="00254871" w:rsidP="00254871">
      <w:pPr>
        <w:pStyle w:val="NoSpacing"/>
        <w:ind w:left="360"/>
        <w:rPr>
          <w:sz w:val="8"/>
          <w:szCs w:val="8"/>
        </w:rPr>
      </w:pPr>
    </w:p>
    <w:p w:rsidR="00D443CD" w:rsidRDefault="004F6EBC" w:rsidP="0035373B">
      <w:pPr>
        <w:pStyle w:val="NoSpacing"/>
        <w:ind w:left="360"/>
        <w:rPr>
          <w:sz w:val="24"/>
        </w:rPr>
      </w:pPr>
      <w:r w:rsidRPr="004B08B7">
        <w:rPr>
          <w:sz w:val="24"/>
        </w:rPr>
        <w:t>- relationships</w:t>
      </w:r>
      <w:r w:rsidR="0035373B">
        <w:rPr>
          <w:sz w:val="24"/>
        </w:rPr>
        <w:t xml:space="preserve"> between</w:t>
      </w:r>
      <w:r w:rsidRPr="004B08B7">
        <w:rPr>
          <w:sz w:val="24"/>
        </w:rPr>
        <w:t xml:space="preserve"> gross/net/new/primary production; secondary production; tertiary production; export production (see image, next page). </w:t>
      </w:r>
    </w:p>
    <w:p w:rsidR="00D443CD" w:rsidRDefault="00D443CD" w:rsidP="00386696">
      <w:pPr>
        <w:pStyle w:val="NoSpacing"/>
        <w:rPr>
          <w:sz w:val="24"/>
        </w:rPr>
      </w:pPr>
    </w:p>
    <w:p w:rsidR="00A2498C" w:rsidRPr="00374703" w:rsidRDefault="004F6EBC" w:rsidP="00386696">
      <w:pPr>
        <w:pStyle w:val="NoSpacing"/>
        <w:rPr>
          <w:sz w:val="24"/>
          <w:u w:val="single"/>
        </w:rPr>
      </w:pPr>
      <w:r w:rsidRPr="00374703">
        <w:rPr>
          <w:sz w:val="24"/>
          <w:u w:val="single"/>
        </w:rPr>
        <w:lastRenderedPageBreak/>
        <w:t>Estimates of Marine Primary Production</w:t>
      </w:r>
    </w:p>
    <w:p w:rsidR="0076679A" w:rsidRDefault="0076679A" w:rsidP="00386696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1317"/>
        <w:gridCol w:w="1328"/>
        <w:gridCol w:w="1325"/>
        <w:gridCol w:w="1326"/>
        <w:gridCol w:w="1326"/>
        <w:gridCol w:w="1327"/>
      </w:tblGrid>
      <w:tr w:rsidR="0076679A" w:rsidTr="0076679A">
        <w:tc>
          <w:tcPr>
            <w:tcW w:w="1329" w:type="dxa"/>
          </w:tcPr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</w:p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</w:p>
          <w:p w:rsidR="0076679A" w:rsidRPr="004B08B7" w:rsidRDefault="0076679A" w:rsidP="0076679A">
            <w:pPr>
              <w:pStyle w:val="NoSpacing"/>
              <w:rPr>
                <w:b/>
                <w:sz w:val="20"/>
              </w:rPr>
            </w:pPr>
            <w:r w:rsidRPr="004B08B7">
              <w:rPr>
                <w:b/>
                <w:sz w:val="20"/>
              </w:rPr>
              <w:t>Environment</w:t>
            </w:r>
          </w:p>
        </w:tc>
        <w:tc>
          <w:tcPr>
            <w:tcW w:w="1329" w:type="dxa"/>
          </w:tcPr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</w:p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</w:p>
          <w:p w:rsidR="0076679A" w:rsidRPr="004B08B7" w:rsidRDefault="0076679A" w:rsidP="004B08B7">
            <w:pPr>
              <w:pStyle w:val="NoSpacing"/>
              <w:jc w:val="center"/>
              <w:rPr>
                <w:b/>
                <w:sz w:val="20"/>
              </w:rPr>
            </w:pPr>
            <w:r w:rsidRPr="004B08B7">
              <w:rPr>
                <w:b/>
                <w:sz w:val="20"/>
              </w:rPr>
              <w:t>% of oceans</w:t>
            </w:r>
          </w:p>
        </w:tc>
        <w:tc>
          <w:tcPr>
            <w:tcW w:w="1329" w:type="dxa"/>
          </w:tcPr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</w:p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  <w:r w:rsidRPr="004B08B7">
              <w:rPr>
                <w:b/>
                <w:sz w:val="20"/>
              </w:rPr>
              <w:t>Chlorophyll</w:t>
            </w:r>
          </w:p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  <w:r w:rsidRPr="004B08B7">
              <w:rPr>
                <w:b/>
                <w:sz w:val="20"/>
              </w:rPr>
              <w:t>(mg m</w:t>
            </w:r>
            <w:r w:rsidRPr="004B08B7">
              <w:rPr>
                <w:b/>
                <w:sz w:val="20"/>
                <w:vertAlign w:val="superscript"/>
              </w:rPr>
              <w:t>-3</w:t>
            </w:r>
            <w:r w:rsidRPr="004B08B7">
              <w:rPr>
                <w:b/>
                <w:sz w:val="20"/>
              </w:rPr>
              <w:t>)</w:t>
            </w:r>
          </w:p>
        </w:tc>
        <w:tc>
          <w:tcPr>
            <w:tcW w:w="1329" w:type="dxa"/>
          </w:tcPr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  <w:r w:rsidRPr="004B08B7">
              <w:rPr>
                <w:b/>
                <w:sz w:val="20"/>
              </w:rPr>
              <w:t>Net Primary</w:t>
            </w:r>
          </w:p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  <w:r w:rsidRPr="004B08B7">
              <w:rPr>
                <w:b/>
                <w:sz w:val="20"/>
              </w:rPr>
              <w:t>Production</w:t>
            </w:r>
          </w:p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  <w:r w:rsidRPr="004B08B7">
              <w:rPr>
                <w:b/>
                <w:sz w:val="18"/>
              </w:rPr>
              <w:t>(g C m</w:t>
            </w:r>
            <w:r w:rsidRPr="004B08B7">
              <w:rPr>
                <w:b/>
                <w:sz w:val="18"/>
                <w:vertAlign w:val="superscript"/>
              </w:rPr>
              <w:t>-2</w:t>
            </w:r>
            <w:r w:rsidRPr="004B08B7">
              <w:rPr>
                <w:b/>
                <w:sz w:val="18"/>
              </w:rPr>
              <w:t xml:space="preserve"> year</w:t>
            </w:r>
            <w:r w:rsidRPr="004B08B7">
              <w:rPr>
                <w:b/>
                <w:sz w:val="18"/>
                <w:vertAlign w:val="superscript"/>
              </w:rPr>
              <w:t>-1</w:t>
            </w:r>
            <w:r w:rsidRPr="004B08B7">
              <w:rPr>
                <w:b/>
                <w:sz w:val="18"/>
              </w:rPr>
              <w:t>)</w:t>
            </w:r>
          </w:p>
        </w:tc>
        <w:tc>
          <w:tcPr>
            <w:tcW w:w="1330" w:type="dxa"/>
          </w:tcPr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  <w:r w:rsidRPr="004B08B7">
              <w:rPr>
                <w:b/>
                <w:sz w:val="20"/>
              </w:rPr>
              <w:t>Net Primary</w:t>
            </w:r>
          </w:p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  <w:r w:rsidRPr="004B08B7">
              <w:rPr>
                <w:b/>
                <w:sz w:val="20"/>
              </w:rPr>
              <w:t>Production</w:t>
            </w:r>
          </w:p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  <w:r w:rsidRPr="004B08B7">
              <w:rPr>
                <w:b/>
                <w:sz w:val="18"/>
              </w:rPr>
              <w:t>(g C m</w:t>
            </w:r>
            <w:r w:rsidRPr="004B08B7">
              <w:rPr>
                <w:b/>
                <w:sz w:val="18"/>
                <w:vertAlign w:val="superscript"/>
              </w:rPr>
              <w:t>-2</w:t>
            </w:r>
            <w:r w:rsidRPr="004B08B7">
              <w:rPr>
                <w:b/>
                <w:sz w:val="18"/>
              </w:rPr>
              <w:t xml:space="preserve"> day</w:t>
            </w:r>
            <w:r w:rsidRPr="004B08B7">
              <w:rPr>
                <w:b/>
                <w:sz w:val="18"/>
                <w:vertAlign w:val="superscript"/>
              </w:rPr>
              <w:t>-1</w:t>
            </w:r>
            <w:r w:rsidRPr="004B08B7">
              <w:rPr>
                <w:b/>
                <w:sz w:val="18"/>
              </w:rPr>
              <w:t>)</w:t>
            </w:r>
          </w:p>
        </w:tc>
        <w:tc>
          <w:tcPr>
            <w:tcW w:w="1330" w:type="dxa"/>
          </w:tcPr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  <w:r w:rsidRPr="004B08B7">
              <w:rPr>
                <w:b/>
                <w:sz w:val="20"/>
              </w:rPr>
              <w:t>Export</w:t>
            </w:r>
          </w:p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  <w:r w:rsidRPr="004B08B7">
              <w:rPr>
                <w:b/>
                <w:sz w:val="20"/>
              </w:rPr>
              <w:t>Production</w:t>
            </w:r>
          </w:p>
          <w:p w:rsidR="0076679A" w:rsidRPr="004B08B7" w:rsidRDefault="0076679A" w:rsidP="00B93768">
            <w:pPr>
              <w:pStyle w:val="NoSpacing"/>
              <w:jc w:val="center"/>
              <w:rPr>
                <w:b/>
                <w:sz w:val="20"/>
              </w:rPr>
            </w:pPr>
            <w:r w:rsidRPr="004B08B7">
              <w:rPr>
                <w:b/>
                <w:sz w:val="18"/>
              </w:rPr>
              <w:t>(g C m</w:t>
            </w:r>
            <w:r w:rsidRPr="004B08B7">
              <w:rPr>
                <w:b/>
                <w:sz w:val="18"/>
                <w:vertAlign w:val="superscript"/>
              </w:rPr>
              <w:t>-2</w:t>
            </w:r>
            <w:r w:rsidRPr="004B08B7">
              <w:rPr>
                <w:b/>
                <w:sz w:val="18"/>
              </w:rPr>
              <w:t xml:space="preserve"> </w:t>
            </w:r>
            <w:r w:rsidR="00B93768" w:rsidRPr="00B93768">
              <w:rPr>
                <w:b/>
                <w:sz w:val="18"/>
              </w:rPr>
              <w:t>day</w:t>
            </w:r>
            <w:r w:rsidR="00B93768" w:rsidRPr="00B93768">
              <w:rPr>
                <w:b/>
                <w:sz w:val="18"/>
                <w:vertAlign w:val="superscript"/>
              </w:rPr>
              <w:t>-</w:t>
            </w:r>
            <w:r w:rsidRPr="00B93768">
              <w:rPr>
                <w:b/>
                <w:sz w:val="18"/>
                <w:vertAlign w:val="superscript"/>
              </w:rPr>
              <w:t>1</w:t>
            </w:r>
            <w:r w:rsidRPr="004B08B7">
              <w:rPr>
                <w:b/>
                <w:sz w:val="18"/>
              </w:rPr>
              <w:t>)</w:t>
            </w:r>
          </w:p>
        </w:tc>
        <w:tc>
          <w:tcPr>
            <w:tcW w:w="1330" w:type="dxa"/>
          </w:tcPr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</w:p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</w:p>
          <w:p w:rsidR="0076679A" w:rsidRPr="004B08B7" w:rsidRDefault="0076679A" w:rsidP="0076679A">
            <w:pPr>
              <w:pStyle w:val="NoSpacing"/>
              <w:jc w:val="center"/>
              <w:rPr>
                <w:b/>
                <w:sz w:val="20"/>
              </w:rPr>
            </w:pPr>
            <w:r w:rsidRPr="004B08B7">
              <w:rPr>
                <w:b/>
                <w:sz w:val="20"/>
              </w:rPr>
              <w:t>Source</w:t>
            </w:r>
          </w:p>
        </w:tc>
      </w:tr>
      <w:tr w:rsidR="0076679A" w:rsidTr="0076679A">
        <w:tc>
          <w:tcPr>
            <w:tcW w:w="1329" w:type="dxa"/>
          </w:tcPr>
          <w:p w:rsidR="0076679A" w:rsidRPr="004B08B7" w:rsidRDefault="0076679A" w:rsidP="0076679A">
            <w:pPr>
              <w:pStyle w:val="NoSpacing"/>
            </w:pPr>
            <w:r w:rsidRPr="004B08B7">
              <w:t>Oligotrophic</w:t>
            </w:r>
          </w:p>
          <w:p w:rsidR="00F47264" w:rsidRPr="004B08B7" w:rsidRDefault="00F47264" w:rsidP="0076679A">
            <w:pPr>
              <w:pStyle w:val="NoSpacing"/>
            </w:pPr>
          </w:p>
        </w:tc>
        <w:tc>
          <w:tcPr>
            <w:tcW w:w="1329" w:type="dxa"/>
          </w:tcPr>
          <w:p w:rsidR="0076679A" w:rsidRPr="004B08B7" w:rsidRDefault="0076679A" w:rsidP="00F47264">
            <w:pPr>
              <w:pStyle w:val="NoSpacing"/>
              <w:jc w:val="center"/>
            </w:pPr>
            <w:r w:rsidRPr="004B08B7">
              <w:t>30</w:t>
            </w:r>
          </w:p>
        </w:tc>
        <w:tc>
          <w:tcPr>
            <w:tcW w:w="1329" w:type="dxa"/>
          </w:tcPr>
          <w:p w:rsidR="0076679A" w:rsidRPr="004B08B7" w:rsidRDefault="0076679A" w:rsidP="00F47264">
            <w:pPr>
              <w:pStyle w:val="NoSpacing"/>
              <w:jc w:val="center"/>
            </w:pPr>
            <w:r w:rsidRPr="004B08B7">
              <w:t>&lt;0.1</w:t>
            </w:r>
          </w:p>
        </w:tc>
        <w:tc>
          <w:tcPr>
            <w:tcW w:w="1329" w:type="dxa"/>
          </w:tcPr>
          <w:p w:rsidR="0076679A" w:rsidRPr="004B08B7" w:rsidRDefault="0076679A" w:rsidP="00134A88">
            <w:pPr>
              <w:pStyle w:val="NoSpacing"/>
              <w:jc w:val="center"/>
            </w:pPr>
            <w:r w:rsidRPr="004B08B7">
              <w:t>42</w:t>
            </w:r>
            <w:r w:rsidR="00134A88">
              <w:rPr>
                <w:vertAlign w:val="superscript"/>
              </w:rPr>
              <w:t>a</w:t>
            </w:r>
          </w:p>
        </w:tc>
        <w:tc>
          <w:tcPr>
            <w:tcW w:w="1330" w:type="dxa"/>
          </w:tcPr>
          <w:p w:rsidR="0076679A" w:rsidRPr="004B08B7" w:rsidRDefault="0076679A" w:rsidP="00F47264">
            <w:pPr>
              <w:pStyle w:val="NoSpacing"/>
              <w:jc w:val="center"/>
            </w:pPr>
            <w:r w:rsidRPr="004B08B7">
              <w:t>0.12</w:t>
            </w:r>
          </w:p>
        </w:tc>
        <w:tc>
          <w:tcPr>
            <w:tcW w:w="1330" w:type="dxa"/>
          </w:tcPr>
          <w:p w:rsidR="0076679A" w:rsidRPr="004B08B7" w:rsidRDefault="00B93768" w:rsidP="00134A88">
            <w:pPr>
              <w:pStyle w:val="NoSpacing"/>
              <w:jc w:val="center"/>
            </w:pPr>
            <w:r>
              <w:t>0.022</w:t>
            </w:r>
            <w:r w:rsidR="00134A88">
              <w:rPr>
                <w:vertAlign w:val="superscript"/>
              </w:rPr>
              <w:t>b</w:t>
            </w:r>
          </w:p>
        </w:tc>
        <w:tc>
          <w:tcPr>
            <w:tcW w:w="1330" w:type="dxa"/>
          </w:tcPr>
          <w:p w:rsidR="0076679A" w:rsidRDefault="0076679A" w:rsidP="00F47264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Carr et al</w:t>
            </w:r>
          </w:p>
        </w:tc>
      </w:tr>
      <w:tr w:rsidR="0076679A" w:rsidTr="0076679A">
        <w:tc>
          <w:tcPr>
            <w:tcW w:w="1329" w:type="dxa"/>
          </w:tcPr>
          <w:p w:rsidR="0076679A" w:rsidRPr="004B08B7" w:rsidRDefault="0076679A" w:rsidP="0076679A">
            <w:pPr>
              <w:pStyle w:val="NoSpacing"/>
            </w:pPr>
            <w:r w:rsidRPr="004B08B7">
              <w:t>Mesotrophic</w:t>
            </w:r>
          </w:p>
          <w:p w:rsidR="00F47264" w:rsidRPr="004B08B7" w:rsidRDefault="00F47264" w:rsidP="0076679A">
            <w:pPr>
              <w:pStyle w:val="NoSpacing"/>
            </w:pPr>
          </w:p>
        </w:tc>
        <w:tc>
          <w:tcPr>
            <w:tcW w:w="1329" w:type="dxa"/>
          </w:tcPr>
          <w:p w:rsidR="0076679A" w:rsidRPr="004B08B7" w:rsidRDefault="0076679A" w:rsidP="00F47264">
            <w:pPr>
              <w:pStyle w:val="NoSpacing"/>
              <w:jc w:val="center"/>
            </w:pPr>
            <w:r w:rsidRPr="004B08B7">
              <w:t>66</w:t>
            </w:r>
          </w:p>
        </w:tc>
        <w:tc>
          <w:tcPr>
            <w:tcW w:w="1329" w:type="dxa"/>
          </w:tcPr>
          <w:p w:rsidR="0076679A" w:rsidRPr="004B08B7" w:rsidRDefault="0076679A" w:rsidP="00F47264">
            <w:pPr>
              <w:pStyle w:val="NoSpacing"/>
              <w:jc w:val="center"/>
            </w:pPr>
            <w:r w:rsidRPr="004B08B7">
              <w:t>0.1-1</w:t>
            </w:r>
          </w:p>
        </w:tc>
        <w:tc>
          <w:tcPr>
            <w:tcW w:w="1329" w:type="dxa"/>
          </w:tcPr>
          <w:p w:rsidR="0076679A" w:rsidRPr="004B08B7" w:rsidRDefault="0076679A" w:rsidP="00134A88">
            <w:pPr>
              <w:pStyle w:val="NoSpacing"/>
              <w:jc w:val="center"/>
            </w:pPr>
            <w:r w:rsidRPr="004B08B7">
              <w:t>146</w:t>
            </w:r>
            <w:r w:rsidR="00134A88">
              <w:rPr>
                <w:vertAlign w:val="superscript"/>
              </w:rPr>
              <w:t>a</w:t>
            </w:r>
          </w:p>
        </w:tc>
        <w:tc>
          <w:tcPr>
            <w:tcW w:w="1330" w:type="dxa"/>
          </w:tcPr>
          <w:p w:rsidR="0076679A" w:rsidRPr="004B08B7" w:rsidRDefault="0076679A" w:rsidP="00F47264">
            <w:pPr>
              <w:pStyle w:val="NoSpacing"/>
              <w:jc w:val="center"/>
            </w:pPr>
            <w:r w:rsidRPr="004B08B7">
              <w:t>0.400</w:t>
            </w:r>
          </w:p>
        </w:tc>
        <w:tc>
          <w:tcPr>
            <w:tcW w:w="1330" w:type="dxa"/>
          </w:tcPr>
          <w:p w:rsidR="0076679A" w:rsidRPr="00134A88" w:rsidRDefault="00B93768" w:rsidP="00134A88">
            <w:pPr>
              <w:pStyle w:val="NoSpacing"/>
              <w:jc w:val="center"/>
              <w:rPr>
                <w:vertAlign w:val="superscript"/>
              </w:rPr>
            </w:pPr>
            <w:r>
              <w:t>0.11</w:t>
            </w:r>
            <w:r w:rsidR="00134A88">
              <w:rPr>
                <w:vertAlign w:val="superscript"/>
              </w:rPr>
              <w:t>b</w:t>
            </w:r>
          </w:p>
        </w:tc>
        <w:tc>
          <w:tcPr>
            <w:tcW w:w="1330" w:type="dxa"/>
          </w:tcPr>
          <w:p w:rsidR="0076679A" w:rsidRDefault="0076679A" w:rsidP="00F47264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Carr et al</w:t>
            </w:r>
          </w:p>
        </w:tc>
      </w:tr>
      <w:tr w:rsidR="0076679A" w:rsidTr="0076679A">
        <w:tc>
          <w:tcPr>
            <w:tcW w:w="1329" w:type="dxa"/>
          </w:tcPr>
          <w:p w:rsidR="0076679A" w:rsidRPr="004B08B7" w:rsidRDefault="0076679A" w:rsidP="0076679A">
            <w:pPr>
              <w:pStyle w:val="NoSpacing"/>
            </w:pPr>
            <w:r w:rsidRPr="004B08B7">
              <w:t>Eutrophic</w:t>
            </w:r>
          </w:p>
          <w:p w:rsidR="00F47264" w:rsidRPr="004B08B7" w:rsidRDefault="00F47264" w:rsidP="0076679A">
            <w:pPr>
              <w:pStyle w:val="NoSpacing"/>
            </w:pPr>
          </w:p>
        </w:tc>
        <w:tc>
          <w:tcPr>
            <w:tcW w:w="1329" w:type="dxa"/>
          </w:tcPr>
          <w:p w:rsidR="0076679A" w:rsidRPr="004B08B7" w:rsidRDefault="0076679A" w:rsidP="00F47264">
            <w:pPr>
              <w:pStyle w:val="NoSpacing"/>
              <w:jc w:val="center"/>
            </w:pPr>
            <w:r w:rsidRPr="004B08B7">
              <w:t>4</w:t>
            </w:r>
          </w:p>
        </w:tc>
        <w:tc>
          <w:tcPr>
            <w:tcW w:w="1329" w:type="dxa"/>
          </w:tcPr>
          <w:p w:rsidR="0076679A" w:rsidRPr="004B08B7" w:rsidRDefault="0076679A" w:rsidP="00F47264">
            <w:pPr>
              <w:pStyle w:val="NoSpacing"/>
              <w:jc w:val="center"/>
            </w:pPr>
            <w:r w:rsidRPr="004B08B7">
              <w:t>&gt;1</w:t>
            </w:r>
          </w:p>
        </w:tc>
        <w:tc>
          <w:tcPr>
            <w:tcW w:w="1329" w:type="dxa"/>
          </w:tcPr>
          <w:p w:rsidR="0076679A" w:rsidRPr="004B08B7" w:rsidRDefault="0076679A" w:rsidP="00134A88">
            <w:pPr>
              <w:pStyle w:val="NoSpacing"/>
              <w:jc w:val="center"/>
            </w:pPr>
            <w:r w:rsidRPr="004B08B7">
              <w:t>387</w:t>
            </w:r>
            <w:r w:rsidR="00134A88">
              <w:rPr>
                <w:vertAlign w:val="superscript"/>
              </w:rPr>
              <w:t>a</w:t>
            </w:r>
          </w:p>
        </w:tc>
        <w:tc>
          <w:tcPr>
            <w:tcW w:w="1330" w:type="dxa"/>
          </w:tcPr>
          <w:p w:rsidR="0076679A" w:rsidRPr="004B08B7" w:rsidRDefault="0076679A" w:rsidP="00F47264">
            <w:pPr>
              <w:pStyle w:val="NoSpacing"/>
              <w:jc w:val="center"/>
            </w:pPr>
            <w:r w:rsidRPr="004B08B7">
              <w:t>1.06</w:t>
            </w:r>
          </w:p>
        </w:tc>
        <w:tc>
          <w:tcPr>
            <w:tcW w:w="1330" w:type="dxa"/>
          </w:tcPr>
          <w:p w:rsidR="0076679A" w:rsidRPr="004B08B7" w:rsidRDefault="00B93768" w:rsidP="00134A88">
            <w:pPr>
              <w:pStyle w:val="NoSpacing"/>
              <w:jc w:val="center"/>
            </w:pPr>
            <w:r>
              <w:t>0.39</w:t>
            </w:r>
            <w:r w:rsidR="00134A88">
              <w:rPr>
                <w:vertAlign w:val="superscript"/>
              </w:rPr>
              <w:t>b</w:t>
            </w:r>
          </w:p>
        </w:tc>
        <w:tc>
          <w:tcPr>
            <w:tcW w:w="1330" w:type="dxa"/>
          </w:tcPr>
          <w:p w:rsidR="0076679A" w:rsidRDefault="0076679A" w:rsidP="00F47264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Carr et al</w:t>
            </w:r>
          </w:p>
        </w:tc>
      </w:tr>
      <w:tr w:rsidR="0076679A" w:rsidTr="0076679A">
        <w:tc>
          <w:tcPr>
            <w:tcW w:w="1329" w:type="dxa"/>
          </w:tcPr>
          <w:p w:rsidR="0076679A" w:rsidRPr="004B08B7" w:rsidRDefault="0076679A" w:rsidP="0076679A">
            <w:pPr>
              <w:pStyle w:val="NoSpacing"/>
            </w:pPr>
            <w:r w:rsidRPr="004B08B7">
              <w:t>Estuarine</w:t>
            </w:r>
          </w:p>
        </w:tc>
        <w:tc>
          <w:tcPr>
            <w:tcW w:w="1329" w:type="dxa"/>
          </w:tcPr>
          <w:p w:rsidR="0076679A" w:rsidRPr="004B08B7" w:rsidRDefault="002B70D6" w:rsidP="00F47264">
            <w:pPr>
              <w:pStyle w:val="NoSpacing"/>
              <w:jc w:val="center"/>
            </w:pPr>
            <w:r w:rsidRPr="004B08B7">
              <w:t>(0.47 x 10</w:t>
            </w:r>
            <w:r w:rsidRPr="004B08B7">
              <w:rPr>
                <w:vertAlign w:val="superscript"/>
              </w:rPr>
              <w:t>6</w:t>
            </w:r>
            <w:r w:rsidRPr="004B08B7">
              <w:t xml:space="preserve"> km</w:t>
            </w:r>
            <w:r w:rsidR="00BB57B7">
              <w:rPr>
                <w:vertAlign w:val="superscript"/>
              </w:rPr>
              <w:t>2</w:t>
            </w:r>
            <w:r w:rsidRPr="004B08B7">
              <w:t>)</w:t>
            </w:r>
          </w:p>
        </w:tc>
        <w:tc>
          <w:tcPr>
            <w:tcW w:w="1329" w:type="dxa"/>
          </w:tcPr>
          <w:p w:rsidR="0076679A" w:rsidRPr="004B08B7" w:rsidRDefault="002B70D6" w:rsidP="00F47264">
            <w:pPr>
              <w:pStyle w:val="NoSpacing"/>
              <w:jc w:val="center"/>
            </w:pPr>
            <w:r w:rsidRPr="004B08B7">
              <w:t>typically &gt;1</w:t>
            </w:r>
          </w:p>
        </w:tc>
        <w:tc>
          <w:tcPr>
            <w:tcW w:w="1329" w:type="dxa"/>
          </w:tcPr>
          <w:p w:rsidR="0076679A" w:rsidRPr="004B08B7" w:rsidRDefault="00F47264" w:rsidP="00F47264">
            <w:pPr>
              <w:pStyle w:val="NoSpacing"/>
              <w:jc w:val="center"/>
            </w:pPr>
            <w:r w:rsidRPr="004B08B7">
              <w:t xml:space="preserve">190 </w:t>
            </w:r>
            <w:r w:rsidRPr="004B08B7">
              <w:rPr>
                <w:u w:val="single"/>
              </w:rPr>
              <w:t>+</w:t>
            </w:r>
            <w:r w:rsidRPr="004B08B7">
              <w:t xml:space="preserve"> 50</w:t>
            </w:r>
          </w:p>
        </w:tc>
        <w:tc>
          <w:tcPr>
            <w:tcW w:w="1330" w:type="dxa"/>
          </w:tcPr>
          <w:p w:rsidR="0076679A" w:rsidRPr="004B08B7" w:rsidRDefault="00F47264" w:rsidP="00F47264">
            <w:pPr>
              <w:pStyle w:val="NoSpacing"/>
              <w:jc w:val="center"/>
            </w:pPr>
            <w:r w:rsidRPr="004B08B7">
              <w:t xml:space="preserve">0.52 </w:t>
            </w:r>
            <w:r w:rsidRPr="004B08B7">
              <w:rPr>
                <w:u w:val="single"/>
              </w:rPr>
              <w:t>+</w:t>
            </w:r>
            <w:r w:rsidRPr="004B08B7">
              <w:rPr>
                <w:u w:val="single"/>
                <w:vertAlign w:val="superscript"/>
              </w:rPr>
              <w:t xml:space="preserve"> </w:t>
            </w:r>
            <w:r w:rsidRPr="004B08B7">
              <w:t>0.14</w:t>
            </w:r>
          </w:p>
        </w:tc>
        <w:tc>
          <w:tcPr>
            <w:tcW w:w="1330" w:type="dxa"/>
          </w:tcPr>
          <w:p w:rsidR="0076679A" w:rsidRPr="004B08B7" w:rsidRDefault="0076679A" w:rsidP="00F47264">
            <w:pPr>
              <w:pStyle w:val="NoSpacing"/>
              <w:jc w:val="center"/>
            </w:pPr>
          </w:p>
        </w:tc>
        <w:tc>
          <w:tcPr>
            <w:tcW w:w="1330" w:type="dxa"/>
          </w:tcPr>
          <w:p w:rsidR="0076679A" w:rsidRDefault="00F47264" w:rsidP="00F47264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Smith and</w:t>
            </w:r>
          </w:p>
          <w:p w:rsidR="00F47264" w:rsidRDefault="00F47264" w:rsidP="00F47264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Hollibaugh</w:t>
            </w:r>
          </w:p>
        </w:tc>
      </w:tr>
      <w:tr w:rsidR="00F47264" w:rsidTr="0076679A">
        <w:tc>
          <w:tcPr>
            <w:tcW w:w="1329" w:type="dxa"/>
          </w:tcPr>
          <w:p w:rsidR="00F47264" w:rsidRPr="004B08B7" w:rsidRDefault="00F47264" w:rsidP="0076679A">
            <w:pPr>
              <w:pStyle w:val="NoSpacing"/>
            </w:pPr>
            <w:r w:rsidRPr="004B08B7">
              <w:t>Coral Reefs</w:t>
            </w:r>
          </w:p>
        </w:tc>
        <w:tc>
          <w:tcPr>
            <w:tcW w:w="1329" w:type="dxa"/>
          </w:tcPr>
          <w:p w:rsidR="00F47264" w:rsidRPr="004B08B7" w:rsidRDefault="00F47264" w:rsidP="00F47264">
            <w:pPr>
              <w:pStyle w:val="NoSpacing"/>
              <w:jc w:val="center"/>
            </w:pPr>
            <w:r w:rsidRPr="004B08B7">
              <w:t>0.005</w:t>
            </w:r>
          </w:p>
        </w:tc>
        <w:tc>
          <w:tcPr>
            <w:tcW w:w="1329" w:type="dxa"/>
          </w:tcPr>
          <w:p w:rsidR="00F47264" w:rsidRPr="004B08B7" w:rsidRDefault="00F47264" w:rsidP="00F47264">
            <w:pPr>
              <w:pStyle w:val="NoSpacing"/>
              <w:jc w:val="center"/>
            </w:pPr>
            <w:r w:rsidRPr="004B08B7">
              <w:t>Low (planktonic)</w:t>
            </w:r>
          </w:p>
        </w:tc>
        <w:tc>
          <w:tcPr>
            <w:tcW w:w="1329" w:type="dxa"/>
          </w:tcPr>
          <w:p w:rsidR="00F47264" w:rsidRPr="004B08B7" w:rsidRDefault="00F47264" w:rsidP="00F47264">
            <w:pPr>
              <w:pStyle w:val="NoSpacing"/>
              <w:jc w:val="center"/>
            </w:pPr>
            <w:r w:rsidRPr="004B08B7">
              <w:t>890</w:t>
            </w:r>
          </w:p>
        </w:tc>
        <w:tc>
          <w:tcPr>
            <w:tcW w:w="1330" w:type="dxa"/>
          </w:tcPr>
          <w:p w:rsidR="00F47264" w:rsidRPr="004B08B7" w:rsidRDefault="00F47264" w:rsidP="00F47264">
            <w:pPr>
              <w:pStyle w:val="NoSpacing"/>
              <w:jc w:val="center"/>
            </w:pPr>
            <w:r w:rsidRPr="004B08B7">
              <w:t>2.4</w:t>
            </w:r>
          </w:p>
        </w:tc>
        <w:tc>
          <w:tcPr>
            <w:tcW w:w="1330" w:type="dxa"/>
          </w:tcPr>
          <w:p w:rsidR="00F47264" w:rsidRPr="004B08B7" w:rsidRDefault="00F47264" w:rsidP="00F47264">
            <w:pPr>
              <w:pStyle w:val="NoSpacing"/>
              <w:jc w:val="center"/>
            </w:pPr>
          </w:p>
        </w:tc>
        <w:tc>
          <w:tcPr>
            <w:tcW w:w="1330" w:type="dxa"/>
          </w:tcPr>
          <w:p w:rsidR="00F47264" w:rsidRDefault="00F47264" w:rsidP="00F47264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Pauly and Christensen</w:t>
            </w:r>
          </w:p>
        </w:tc>
      </w:tr>
      <w:tr w:rsidR="00F47264" w:rsidTr="0076679A">
        <w:tc>
          <w:tcPr>
            <w:tcW w:w="1329" w:type="dxa"/>
          </w:tcPr>
          <w:p w:rsidR="00F47264" w:rsidRPr="004B08B7" w:rsidRDefault="00BB57B7" w:rsidP="0076679A">
            <w:pPr>
              <w:pStyle w:val="NoSpacing"/>
            </w:pPr>
            <w:r>
              <w:t xml:space="preserve">Salt </w:t>
            </w:r>
            <w:r w:rsidR="00F47264" w:rsidRPr="004B08B7">
              <w:t>Marshes</w:t>
            </w:r>
          </w:p>
        </w:tc>
        <w:tc>
          <w:tcPr>
            <w:tcW w:w="1329" w:type="dxa"/>
          </w:tcPr>
          <w:p w:rsidR="00F47264" w:rsidRPr="004B08B7" w:rsidRDefault="00F47264" w:rsidP="00F47264">
            <w:pPr>
              <w:pStyle w:val="NoSpacing"/>
              <w:jc w:val="center"/>
            </w:pPr>
          </w:p>
        </w:tc>
        <w:tc>
          <w:tcPr>
            <w:tcW w:w="1329" w:type="dxa"/>
          </w:tcPr>
          <w:p w:rsidR="00F47264" w:rsidRPr="004B08B7" w:rsidRDefault="00F47264" w:rsidP="00F47264">
            <w:pPr>
              <w:pStyle w:val="NoSpacing"/>
              <w:jc w:val="center"/>
            </w:pPr>
          </w:p>
        </w:tc>
        <w:tc>
          <w:tcPr>
            <w:tcW w:w="1329" w:type="dxa"/>
          </w:tcPr>
          <w:p w:rsidR="00F47264" w:rsidRPr="004B08B7" w:rsidRDefault="00F47264" w:rsidP="00F47264">
            <w:pPr>
              <w:pStyle w:val="NoSpacing"/>
              <w:jc w:val="center"/>
            </w:pPr>
            <w:r w:rsidRPr="004B08B7">
              <w:t xml:space="preserve">2471 </w:t>
            </w:r>
            <w:r w:rsidRPr="004B08B7">
              <w:rPr>
                <w:u w:val="single"/>
              </w:rPr>
              <w:t>+</w:t>
            </w:r>
            <w:r w:rsidRPr="004B08B7">
              <w:t xml:space="preserve"> 1532</w:t>
            </w:r>
          </w:p>
        </w:tc>
        <w:tc>
          <w:tcPr>
            <w:tcW w:w="1330" w:type="dxa"/>
          </w:tcPr>
          <w:p w:rsidR="00F47264" w:rsidRPr="004B08B7" w:rsidRDefault="00F47264" w:rsidP="004B08B7">
            <w:pPr>
              <w:pStyle w:val="NoSpacing"/>
              <w:jc w:val="center"/>
              <w:rPr>
                <w:vertAlign w:val="superscript"/>
              </w:rPr>
            </w:pPr>
            <w:r w:rsidRPr="004B08B7">
              <w:t>6.8</w:t>
            </w:r>
            <w:r w:rsidR="004B08B7" w:rsidRPr="004B08B7">
              <w:t xml:space="preserve"> </w:t>
            </w:r>
            <w:r w:rsidR="004B08B7" w:rsidRPr="004B08B7">
              <w:rPr>
                <w:u w:val="single"/>
              </w:rPr>
              <w:t>+</w:t>
            </w:r>
            <w:r w:rsidR="004B08B7" w:rsidRPr="004B08B7">
              <w:t xml:space="preserve"> 4.2</w:t>
            </w:r>
          </w:p>
        </w:tc>
        <w:tc>
          <w:tcPr>
            <w:tcW w:w="1330" w:type="dxa"/>
          </w:tcPr>
          <w:p w:rsidR="00F47264" w:rsidRPr="004B08B7" w:rsidRDefault="00F47264" w:rsidP="00F47264">
            <w:pPr>
              <w:pStyle w:val="NoSpacing"/>
              <w:jc w:val="center"/>
            </w:pPr>
          </w:p>
        </w:tc>
        <w:tc>
          <w:tcPr>
            <w:tcW w:w="1330" w:type="dxa"/>
          </w:tcPr>
          <w:p w:rsidR="00F47264" w:rsidRDefault="00F47264" w:rsidP="00F47264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Smith and Hollibaug</w:t>
            </w:r>
            <w:r w:rsidR="004B08B7">
              <w:rPr>
                <w:sz w:val="20"/>
              </w:rPr>
              <w:t>h</w:t>
            </w:r>
          </w:p>
        </w:tc>
      </w:tr>
      <w:tr w:rsidR="00BB57B7" w:rsidTr="0076679A">
        <w:tc>
          <w:tcPr>
            <w:tcW w:w="1329" w:type="dxa"/>
          </w:tcPr>
          <w:p w:rsidR="00BB57B7" w:rsidRPr="00134A88" w:rsidRDefault="00BB57B7" w:rsidP="0076679A">
            <w:pPr>
              <w:pStyle w:val="NoSpacing"/>
              <w:rPr>
                <w:vertAlign w:val="superscript"/>
              </w:rPr>
            </w:pPr>
            <w:r>
              <w:t xml:space="preserve">Kelp </w:t>
            </w:r>
            <w:r w:rsidR="00134A88">
              <w:t>Forest</w:t>
            </w:r>
            <w:r w:rsidR="00134A88">
              <w:rPr>
                <w:vertAlign w:val="superscript"/>
              </w:rPr>
              <w:t>c</w:t>
            </w:r>
          </w:p>
          <w:p w:rsidR="00BB57B7" w:rsidRPr="004B08B7" w:rsidRDefault="00BB57B7" w:rsidP="0076679A">
            <w:pPr>
              <w:pStyle w:val="NoSpacing"/>
            </w:pPr>
          </w:p>
        </w:tc>
        <w:tc>
          <w:tcPr>
            <w:tcW w:w="1329" w:type="dxa"/>
          </w:tcPr>
          <w:p w:rsidR="00BB57B7" w:rsidRPr="004B08B7" w:rsidRDefault="00BB57B7" w:rsidP="00F47264">
            <w:pPr>
              <w:pStyle w:val="NoSpacing"/>
              <w:jc w:val="center"/>
            </w:pPr>
          </w:p>
        </w:tc>
        <w:tc>
          <w:tcPr>
            <w:tcW w:w="1329" w:type="dxa"/>
          </w:tcPr>
          <w:p w:rsidR="00BB57B7" w:rsidRPr="004B08B7" w:rsidRDefault="00134A88" w:rsidP="00F47264">
            <w:pPr>
              <w:pStyle w:val="NoSpacing"/>
              <w:jc w:val="center"/>
            </w:pPr>
            <w:r>
              <w:t>3-10</w:t>
            </w:r>
          </w:p>
        </w:tc>
        <w:tc>
          <w:tcPr>
            <w:tcW w:w="1329" w:type="dxa"/>
          </w:tcPr>
          <w:p w:rsidR="00BB57B7" w:rsidRDefault="00134A88" w:rsidP="00F47264">
            <w:pPr>
              <w:pStyle w:val="NoSpacing"/>
              <w:jc w:val="center"/>
            </w:pPr>
            <w:r>
              <w:t>1170</w:t>
            </w:r>
          </w:p>
          <w:p w:rsidR="00134A88" w:rsidRPr="004B08B7" w:rsidRDefault="00134A88" w:rsidP="00F47264">
            <w:pPr>
              <w:pStyle w:val="NoSpacing"/>
              <w:jc w:val="center"/>
            </w:pPr>
            <w:r>
              <w:t>1130</w:t>
            </w:r>
          </w:p>
        </w:tc>
        <w:tc>
          <w:tcPr>
            <w:tcW w:w="1330" w:type="dxa"/>
          </w:tcPr>
          <w:p w:rsidR="00BB57B7" w:rsidRDefault="00134A88" w:rsidP="004B08B7">
            <w:pPr>
              <w:pStyle w:val="NoSpacing"/>
              <w:jc w:val="center"/>
            </w:pPr>
            <w:r>
              <w:t>3.21</w:t>
            </w:r>
          </w:p>
          <w:p w:rsidR="00134A88" w:rsidRPr="004B08B7" w:rsidRDefault="00134A88" w:rsidP="00134A88">
            <w:pPr>
              <w:pStyle w:val="NoSpacing"/>
              <w:jc w:val="center"/>
            </w:pPr>
            <w:r>
              <w:t>3.09</w:t>
            </w:r>
          </w:p>
        </w:tc>
        <w:tc>
          <w:tcPr>
            <w:tcW w:w="1330" w:type="dxa"/>
          </w:tcPr>
          <w:p w:rsidR="00BB57B7" w:rsidRPr="004B08B7" w:rsidRDefault="00BB57B7" w:rsidP="00F47264">
            <w:pPr>
              <w:pStyle w:val="NoSpacing"/>
              <w:jc w:val="center"/>
            </w:pPr>
          </w:p>
        </w:tc>
        <w:tc>
          <w:tcPr>
            <w:tcW w:w="1330" w:type="dxa"/>
          </w:tcPr>
          <w:p w:rsidR="00BB57B7" w:rsidRDefault="00134A88" w:rsidP="00F47264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Carter</w:t>
            </w:r>
          </w:p>
        </w:tc>
      </w:tr>
    </w:tbl>
    <w:p w:rsidR="00F65677" w:rsidRDefault="00134A88" w:rsidP="00F65677">
      <w:pPr>
        <w:pStyle w:val="NoSpacing"/>
        <w:rPr>
          <w:sz w:val="20"/>
        </w:rPr>
      </w:pPr>
      <w:r>
        <w:rPr>
          <w:sz w:val="20"/>
        </w:rPr>
        <w:t xml:space="preserve">a. </w:t>
      </w:r>
      <w:r w:rsidR="004B08B7">
        <w:rPr>
          <w:sz w:val="20"/>
        </w:rPr>
        <w:t xml:space="preserve"> estimated from global satellite chlorophyll data for 1998</w:t>
      </w:r>
    </w:p>
    <w:p w:rsidR="00F65677" w:rsidRDefault="00134A88" w:rsidP="00F65677">
      <w:pPr>
        <w:pStyle w:val="NoSpacing"/>
        <w:rPr>
          <w:sz w:val="20"/>
        </w:rPr>
      </w:pPr>
      <w:r>
        <w:rPr>
          <w:sz w:val="20"/>
        </w:rPr>
        <w:t xml:space="preserve">b. </w:t>
      </w:r>
      <w:r w:rsidR="00BB57B7">
        <w:rPr>
          <w:sz w:val="20"/>
        </w:rPr>
        <w:t>calculated</w:t>
      </w:r>
      <w:r w:rsidR="00B93768">
        <w:rPr>
          <w:sz w:val="20"/>
        </w:rPr>
        <w:t xml:space="preserve"> from La</w:t>
      </w:r>
      <w:r w:rsidR="00BB57B7">
        <w:rPr>
          <w:sz w:val="20"/>
        </w:rPr>
        <w:t xml:space="preserve">ws et al. (2000) average model </w:t>
      </w:r>
      <w:r w:rsidR="00B93768">
        <w:rPr>
          <w:sz w:val="20"/>
        </w:rPr>
        <w:t>export (“ef”</w:t>
      </w:r>
      <w:r w:rsidR="00BB57B7">
        <w:rPr>
          <w:sz w:val="20"/>
        </w:rPr>
        <w:t>) ratios, and Carr et al. (2000) net production values.</w:t>
      </w:r>
    </w:p>
    <w:p w:rsidR="00134A88" w:rsidRPr="00134A88" w:rsidRDefault="00134A88" w:rsidP="00F65677">
      <w:pPr>
        <w:pStyle w:val="NoSpacing"/>
        <w:rPr>
          <w:sz w:val="20"/>
        </w:rPr>
      </w:pPr>
      <w:r>
        <w:rPr>
          <w:sz w:val="20"/>
        </w:rPr>
        <w:t xml:space="preserve">c.  top </w:t>
      </w:r>
      <w:r w:rsidR="00F65677">
        <w:rPr>
          <w:sz w:val="20"/>
        </w:rPr>
        <w:t>number</w:t>
      </w:r>
      <w:r>
        <w:rPr>
          <w:sz w:val="20"/>
        </w:rPr>
        <w:t xml:space="preserve"> </w:t>
      </w:r>
      <w:r w:rsidR="00BA007A">
        <w:rPr>
          <w:sz w:val="20"/>
        </w:rPr>
        <w:t>i</w:t>
      </w:r>
      <w:r>
        <w:rPr>
          <w:sz w:val="20"/>
        </w:rPr>
        <w:t xml:space="preserve">s average annual </w:t>
      </w:r>
      <w:r>
        <w:rPr>
          <w:i/>
          <w:sz w:val="20"/>
        </w:rPr>
        <w:t xml:space="preserve">Laminaria </w:t>
      </w:r>
      <w:r>
        <w:rPr>
          <w:sz w:val="20"/>
        </w:rPr>
        <w:t xml:space="preserve">and </w:t>
      </w:r>
      <w:r>
        <w:rPr>
          <w:i/>
          <w:sz w:val="20"/>
        </w:rPr>
        <w:t xml:space="preserve">Ekelonia </w:t>
      </w:r>
      <w:r>
        <w:rPr>
          <w:sz w:val="20"/>
        </w:rPr>
        <w:t xml:space="preserve">kelp production; bottom </w:t>
      </w:r>
      <w:r w:rsidR="00F65677">
        <w:rPr>
          <w:sz w:val="20"/>
        </w:rPr>
        <w:t>number</w:t>
      </w:r>
      <w:r>
        <w:rPr>
          <w:sz w:val="20"/>
        </w:rPr>
        <w:t xml:space="preserve"> </w:t>
      </w:r>
      <w:r w:rsidR="00BA007A">
        <w:rPr>
          <w:sz w:val="20"/>
        </w:rPr>
        <w:t>i</w:t>
      </w:r>
      <w:r>
        <w:rPr>
          <w:sz w:val="20"/>
        </w:rPr>
        <w:t>s annual average phytoplankton production within kelp beds</w:t>
      </w:r>
      <w:r w:rsidR="00BA007A">
        <w:rPr>
          <w:sz w:val="20"/>
        </w:rPr>
        <w:t xml:space="preserve"> near Cape Town, South Africa</w:t>
      </w:r>
      <w:r>
        <w:rPr>
          <w:sz w:val="20"/>
        </w:rPr>
        <w:t>.</w:t>
      </w:r>
    </w:p>
    <w:p w:rsidR="004B08B7" w:rsidRPr="004B08B7" w:rsidRDefault="004B08B7" w:rsidP="00386696">
      <w:pPr>
        <w:pStyle w:val="NoSpacing"/>
        <w:rPr>
          <w:sz w:val="20"/>
        </w:rPr>
      </w:pPr>
    </w:p>
    <w:p w:rsidR="004B08B7" w:rsidRDefault="004B08B7" w:rsidP="00386696">
      <w:pPr>
        <w:pStyle w:val="NoSpacing"/>
        <w:rPr>
          <w:sz w:val="24"/>
        </w:rPr>
      </w:pPr>
    </w:p>
    <w:p w:rsidR="00F47264" w:rsidRPr="00F47264" w:rsidRDefault="00F47264" w:rsidP="00F47264">
      <w:pPr>
        <w:pStyle w:val="NoSpacing"/>
        <w:rPr>
          <w:sz w:val="24"/>
        </w:rPr>
      </w:pPr>
      <w:r>
        <w:rPr>
          <w:sz w:val="24"/>
        </w:rPr>
        <w:t>Sources</w:t>
      </w:r>
      <w:r w:rsidRPr="00F47264">
        <w:rPr>
          <w:b/>
          <w:sz w:val="24"/>
        </w:rPr>
        <w:tab/>
      </w:r>
    </w:p>
    <w:p w:rsidR="00F47264" w:rsidRDefault="00F47264" w:rsidP="00F47264">
      <w:pPr>
        <w:pStyle w:val="NoSpacing"/>
        <w:ind w:left="450" w:hanging="450"/>
      </w:pPr>
      <w:r w:rsidRPr="00F47264">
        <w:t>Carr, M. E., Friedrichs, M. A., Schmeltz, M., Noguchi Aita, M., Antoine, D., Arrigo, K. R., ... &amp; Yamanaka, Y. (2006). A comparison of global estimates of marine primary production from ocean color. Deep Sea Research Part II: Topical Studies in Oceanography, 53(5), 741-770.</w:t>
      </w:r>
    </w:p>
    <w:p w:rsidR="000B50CC" w:rsidRDefault="000B50CC" w:rsidP="00F47264">
      <w:pPr>
        <w:pStyle w:val="NoSpacing"/>
        <w:ind w:left="450" w:hanging="450"/>
      </w:pPr>
    </w:p>
    <w:p w:rsidR="000B50CC" w:rsidRDefault="000B50CC" w:rsidP="00F47264">
      <w:pPr>
        <w:pStyle w:val="NoSpacing"/>
        <w:ind w:left="450" w:hanging="450"/>
      </w:pPr>
      <w:r w:rsidRPr="000B50CC">
        <w:t>Carter, R. A. (1982). Phytoplankton biomass and production in a Southern Benguela kelp bed system. Marine ecology progress series. Oldendorf, 8(1), 9-14.</w:t>
      </w:r>
    </w:p>
    <w:p w:rsidR="000B50CC" w:rsidRDefault="000B50CC" w:rsidP="00F47264">
      <w:pPr>
        <w:pStyle w:val="NoSpacing"/>
        <w:ind w:left="450" w:hanging="450"/>
      </w:pPr>
    </w:p>
    <w:p w:rsidR="00F47264" w:rsidRDefault="00F47264" w:rsidP="00F47264">
      <w:pPr>
        <w:pStyle w:val="NoSpacing"/>
        <w:ind w:left="450" w:hanging="450"/>
      </w:pPr>
      <w:r>
        <w:t>Laws, E. A., Falkowski, P. G., Smith, W. O., Ducklow, H., &amp; McCarthy, J. J. (2000). Temperature effects on export production in the open ocean. Global Biogeochemical Cycles, 14(4), 1231-1246.</w:t>
      </w:r>
    </w:p>
    <w:p w:rsidR="004B08B7" w:rsidRDefault="004B08B7" w:rsidP="004B08B7">
      <w:pPr>
        <w:pStyle w:val="NoSpacing"/>
        <w:ind w:left="450" w:hanging="450"/>
      </w:pPr>
      <w:r>
        <w:tab/>
      </w:r>
    </w:p>
    <w:p w:rsidR="00F47264" w:rsidRDefault="004B08B7" w:rsidP="004B08B7">
      <w:pPr>
        <w:pStyle w:val="NoSpacing"/>
        <w:ind w:left="450" w:hanging="450"/>
      </w:pPr>
      <w:r>
        <w:t>Pauly, D., &amp; Christensen, V. (1995). Primary production required to sustain global fisheries. Nature, 374(6519), 255-257.</w:t>
      </w:r>
    </w:p>
    <w:p w:rsidR="00F47264" w:rsidRDefault="00F47264" w:rsidP="00F47264">
      <w:pPr>
        <w:pStyle w:val="NoSpacing"/>
        <w:ind w:left="450" w:hanging="450"/>
      </w:pPr>
    </w:p>
    <w:p w:rsidR="00F47264" w:rsidRDefault="00F47264" w:rsidP="00F47264">
      <w:pPr>
        <w:pStyle w:val="NoSpacing"/>
        <w:ind w:left="450" w:hanging="450"/>
      </w:pPr>
      <w:r w:rsidRPr="00F47264">
        <w:t>Smith, S. V., &amp; Hollibaugh, J. T. (1993). Coastal metabolism and the oceanic organic carbon balance. Reviews of Geophysics, 31(1), 75-89.</w:t>
      </w:r>
    </w:p>
    <w:p w:rsidR="00F47264" w:rsidRDefault="00F47264" w:rsidP="00F47264">
      <w:pPr>
        <w:pStyle w:val="NoSpacing"/>
      </w:pPr>
    </w:p>
    <w:p w:rsidR="004B08B7" w:rsidRDefault="004B08B7">
      <w:r>
        <w:br w:type="page"/>
      </w:r>
    </w:p>
    <w:p w:rsidR="00F47264" w:rsidRDefault="004B08B7" w:rsidP="00F47264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772150" cy="468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Productio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68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ED0" w:rsidRDefault="00CB0ED0" w:rsidP="00F47264">
      <w:pPr>
        <w:pStyle w:val="NoSpacing"/>
      </w:pPr>
    </w:p>
    <w:p w:rsidR="00CB0ED0" w:rsidRDefault="00CB0ED0" w:rsidP="00F47264">
      <w:pPr>
        <w:pStyle w:val="NoSpacing"/>
      </w:pPr>
      <w:r w:rsidRPr="00C930CE">
        <w:rPr>
          <w:u w:val="single"/>
        </w:rPr>
        <w:t>Notes</w:t>
      </w:r>
      <w:r w:rsidR="00264767">
        <w:t>:</w:t>
      </w:r>
    </w:p>
    <w:p w:rsidR="00EC1592" w:rsidRDefault="00EC1592" w:rsidP="00F47264">
      <w:pPr>
        <w:pStyle w:val="NoSpacing"/>
      </w:pPr>
      <w:r>
        <w:t>Total marine production approximately equal</w:t>
      </w:r>
      <w:r w:rsidR="00556893">
        <w:t>s</w:t>
      </w:r>
      <w:r>
        <w:t xml:space="preserve"> total terrestrial production.</w:t>
      </w:r>
    </w:p>
    <w:p w:rsidR="00EC1592" w:rsidRDefault="00EC1592" w:rsidP="00F47264">
      <w:pPr>
        <w:pStyle w:val="NoSpacing"/>
      </w:pPr>
    </w:p>
    <w:p w:rsidR="00EC1592" w:rsidRDefault="00EC1592" w:rsidP="00F47264">
      <w:pPr>
        <w:pStyle w:val="NoSpacing"/>
      </w:pPr>
      <w:r>
        <w:t xml:space="preserve">Photosynthetic production accounts for </w:t>
      </w:r>
      <w:r w:rsidR="007F6DA9">
        <w:t>less than</w:t>
      </w:r>
      <w:bookmarkStart w:id="0" w:name="_GoBack"/>
      <w:bookmarkEnd w:id="0"/>
      <w:r>
        <w:t xml:space="preserve"> 99.9% of all production on Earth. </w:t>
      </w:r>
    </w:p>
    <w:p w:rsidR="00EC1592" w:rsidRDefault="00EC1592" w:rsidP="00F47264">
      <w:pPr>
        <w:pStyle w:val="NoSpacing"/>
      </w:pPr>
    </w:p>
    <w:p w:rsidR="00CB0ED0" w:rsidRDefault="00CB0ED0" w:rsidP="00F47264">
      <w:pPr>
        <w:pStyle w:val="NoSpacing"/>
      </w:pPr>
      <w:r>
        <w:t xml:space="preserve">Export production </w:t>
      </w:r>
      <w:r w:rsidR="00556893">
        <w:t>approximately equals</w:t>
      </w:r>
      <w:r>
        <w:t xml:space="preserve"> </w:t>
      </w:r>
      <w:r w:rsidR="00556893">
        <w:t>n</w:t>
      </w:r>
      <w:r>
        <w:t xml:space="preserve">ew </w:t>
      </w:r>
      <w:r w:rsidR="00EC1592">
        <w:t>p</w:t>
      </w:r>
      <w:r>
        <w:t>roduction</w:t>
      </w:r>
      <w:r w:rsidR="00556893">
        <w:t>.</w:t>
      </w:r>
    </w:p>
    <w:p w:rsidR="00C930CE" w:rsidRDefault="00C930CE" w:rsidP="00F47264">
      <w:pPr>
        <w:pStyle w:val="NoSpacing"/>
      </w:pPr>
    </w:p>
    <w:p w:rsidR="00C930CE" w:rsidRDefault="00E44100" w:rsidP="00F47264">
      <w:pPr>
        <w:pStyle w:val="NoSpacing"/>
      </w:pPr>
      <w:r>
        <w:t xml:space="preserve">Less than </w:t>
      </w:r>
      <w:r w:rsidR="00556893">
        <w:t>~</w:t>
      </w:r>
      <w:r w:rsidR="00C930CE">
        <w:t>2% of surface production ever reaches the deep sea</w:t>
      </w:r>
      <w:r>
        <w:t>.</w:t>
      </w:r>
    </w:p>
    <w:p w:rsidR="00C930CE" w:rsidRDefault="00C930CE" w:rsidP="00F47264">
      <w:pPr>
        <w:pStyle w:val="NoSpacing"/>
      </w:pPr>
    </w:p>
    <w:p w:rsidR="00C930CE" w:rsidRDefault="00E44100" w:rsidP="00F47264">
      <w:pPr>
        <w:pStyle w:val="NoSpacing"/>
      </w:pPr>
      <w:r>
        <w:t xml:space="preserve">Less than </w:t>
      </w:r>
      <w:r w:rsidR="00556893">
        <w:t>~</w:t>
      </w:r>
      <w:r w:rsidR="00C930CE">
        <w:t xml:space="preserve">1% of surface production </w:t>
      </w:r>
      <w:r w:rsidR="00924488">
        <w:t>ends up buried</w:t>
      </w:r>
      <w:r>
        <w:t>.</w:t>
      </w:r>
    </w:p>
    <w:p w:rsidR="00C930CE" w:rsidRDefault="00C930CE" w:rsidP="00F47264">
      <w:pPr>
        <w:pStyle w:val="NoSpacing"/>
      </w:pPr>
    </w:p>
    <w:p w:rsidR="00C930CE" w:rsidRDefault="00E44100" w:rsidP="00F47264">
      <w:pPr>
        <w:pStyle w:val="NoSpacing"/>
      </w:pPr>
      <w:r>
        <w:t xml:space="preserve">Approximately </w:t>
      </w:r>
      <w:r w:rsidR="00264767">
        <w:t xml:space="preserve">8% of global annual primary production </w:t>
      </w:r>
      <w:r w:rsidR="00EC1592">
        <w:t xml:space="preserve">currently goes towards </w:t>
      </w:r>
      <w:r w:rsidR="00924488">
        <w:t>sustaining world fisheries</w:t>
      </w:r>
      <w:r>
        <w:t>.</w:t>
      </w:r>
    </w:p>
    <w:p w:rsidR="00434BA5" w:rsidRDefault="00434BA5" w:rsidP="00F47264">
      <w:pPr>
        <w:pStyle w:val="NoSpacing"/>
      </w:pPr>
    </w:p>
    <w:p w:rsidR="00434BA5" w:rsidRDefault="00AC33E3" w:rsidP="00F47264">
      <w:pPr>
        <w:pStyle w:val="NoSpacing"/>
      </w:pPr>
      <w:r>
        <w:t xml:space="preserve">Productivity in salt marshes </w:t>
      </w:r>
      <w:r w:rsidR="00BA007A">
        <w:t xml:space="preserve">and kelp forests </w:t>
      </w:r>
      <w:r w:rsidR="00E44100">
        <w:t>i</w:t>
      </w:r>
      <w:r>
        <w:t xml:space="preserve">s within the </w:t>
      </w:r>
      <w:r w:rsidR="00E44100">
        <w:t>productivity ranges</w:t>
      </w:r>
      <w:r>
        <w:t xml:space="preserve"> </w:t>
      </w:r>
      <w:r w:rsidR="00924488">
        <w:t xml:space="preserve">found </w:t>
      </w:r>
      <w:r>
        <w:t xml:space="preserve">in </w:t>
      </w:r>
      <w:r w:rsidR="00434BA5">
        <w:t>tropical rainforests, the most productive terrestrial biomes.</w:t>
      </w:r>
    </w:p>
    <w:p w:rsidR="00FA0766" w:rsidRDefault="00FA0766" w:rsidP="00F47264">
      <w:pPr>
        <w:pStyle w:val="NoSpacing"/>
      </w:pPr>
    </w:p>
    <w:p w:rsidR="00FA0766" w:rsidRPr="00F47264" w:rsidRDefault="00826743" w:rsidP="00F47264">
      <w:pPr>
        <w:pStyle w:val="NoSpacing"/>
      </w:pPr>
      <w:r>
        <w:t>The h</w:t>
      </w:r>
      <w:r w:rsidR="00FA0766">
        <w:t>igh pr</w:t>
      </w:r>
      <w:r>
        <w:t>oductivity of coral reefs, also known as Darwin’s para</w:t>
      </w:r>
      <w:r w:rsidR="00924488">
        <w:t>dox, is exceptional given</w:t>
      </w:r>
      <w:r w:rsidR="00E44100">
        <w:t xml:space="preserve"> that</w:t>
      </w:r>
      <w:r w:rsidR="00924488">
        <w:t xml:space="preserve"> reefs exist in oligo</w:t>
      </w:r>
      <w:r w:rsidR="00B673BE">
        <w:t>trophic</w:t>
      </w:r>
      <w:r>
        <w:t xml:space="preserve"> </w:t>
      </w:r>
      <w:r w:rsidR="00B673BE">
        <w:t>environments</w:t>
      </w:r>
      <w:r>
        <w:t>. This is at least partly due to efficient nutrient recycling (</w:t>
      </w:r>
      <w:r w:rsidR="00B673BE">
        <w:t>via tightly coupled surface waters and benthos), the ability of corals</w:t>
      </w:r>
      <w:r>
        <w:t xml:space="preserve"> </w:t>
      </w:r>
      <w:r w:rsidR="00924488">
        <w:t>and other invert</w:t>
      </w:r>
      <w:r w:rsidR="00E44100">
        <w:t>e</w:t>
      </w:r>
      <w:r w:rsidR="00924488">
        <w:t xml:space="preserve">brates </w:t>
      </w:r>
      <w:r>
        <w:t>to recycle nutrients from ingested prey</w:t>
      </w:r>
      <w:r w:rsidR="00B673BE">
        <w:t xml:space="preserve">, and physical factors (turbulence and roughness) </w:t>
      </w:r>
      <w:r w:rsidR="00E44100">
        <w:t>enhancing</w:t>
      </w:r>
      <w:r w:rsidR="00B673BE">
        <w:t xml:space="preserve"> nutrient</w:t>
      </w:r>
      <w:r w:rsidR="00924488">
        <w:t xml:space="preserve"> uptake</w:t>
      </w:r>
      <w:r w:rsidR="00B673BE">
        <w:t xml:space="preserve"> from seawater. </w:t>
      </w:r>
      <w:r>
        <w:t xml:space="preserve"> </w:t>
      </w:r>
      <w:r w:rsidR="00B673BE">
        <w:t xml:space="preserve"> </w:t>
      </w:r>
    </w:p>
    <w:sectPr w:rsidR="00FA0766" w:rsidRPr="00F47264" w:rsidSect="004B08B7">
      <w:pgSz w:w="12240" w:h="15840"/>
      <w:pgMar w:top="900" w:right="17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C38"/>
    <w:multiLevelType w:val="hybridMultilevel"/>
    <w:tmpl w:val="850A3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C31590"/>
    <w:multiLevelType w:val="hybridMultilevel"/>
    <w:tmpl w:val="D57C8A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91C1DFB"/>
    <w:multiLevelType w:val="hybridMultilevel"/>
    <w:tmpl w:val="7794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96"/>
    <w:rsid w:val="00011FD8"/>
    <w:rsid w:val="000B50CC"/>
    <w:rsid w:val="000E40D3"/>
    <w:rsid w:val="00134A88"/>
    <w:rsid w:val="00254871"/>
    <w:rsid w:val="002578B8"/>
    <w:rsid w:val="00264767"/>
    <w:rsid w:val="00297566"/>
    <w:rsid w:val="002B70D6"/>
    <w:rsid w:val="003131D6"/>
    <w:rsid w:val="0035373B"/>
    <w:rsid w:val="00357B81"/>
    <w:rsid w:val="00374703"/>
    <w:rsid w:val="00386696"/>
    <w:rsid w:val="003B1B5D"/>
    <w:rsid w:val="003D4C3A"/>
    <w:rsid w:val="00434BA5"/>
    <w:rsid w:val="00451EEA"/>
    <w:rsid w:val="004B08B7"/>
    <w:rsid w:val="004F6EBC"/>
    <w:rsid w:val="00556893"/>
    <w:rsid w:val="005A5676"/>
    <w:rsid w:val="005C5FBC"/>
    <w:rsid w:val="005E5984"/>
    <w:rsid w:val="00644C91"/>
    <w:rsid w:val="006A1E86"/>
    <w:rsid w:val="0076679A"/>
    <w:rsid w:val="00785DCF"/>
    <w:rsid w:val="007F6DA9"/>
    <w:rsid w:val="00826743"/>
    <w:rsid w:val="00864825"/>
    <w:rsid w:val="00865145"/>
    <w:rsid w:val="00924488"/>
    <w:rsid w:val="00961CBA"/>
    <w:rsid w:val="00991550"/>
    <w:rsid w:val="009D3FBC"/>
    <w:rsid w:val="009E4086"/>
    <w:rsid w:val="009F4EAB"/>
    <w:rsid w:val="00A150AA"/>
    <w:rsid w:val="00A15BF5"/>
    <w:rsid w:val="00A2498C"/>
    <w:rsid w:val="00AC33E3"/>
    <w:rsid w:val="00B32C2C"/>
    <w:rsid w:val="00B62D09"/>
    <w:rsid w:val="00B673BE"/>
    <w:rsid w:val="00B8172F"/>
    <w:rsid w:val="00B93768"/>
    <w:rsid w:val="00BA007A"/>
    <w:rsid w:val="00BB57B7"/>
    <w:rsid w:val="00BD4CC6"/>
    <w:rsid w:val="00C611B4"/>
    <w:rsid w:val="00C930CE"/>
    <w:rsid w:val="00C963ED"/>
    <w:rsid w:val="00CB0ED0"/>
    <w:rsid w:val="00D245FF"/>
    <w:rsid w:val="00D443CD"/>
    <w:rsid w:val="00D769FB"/>
    <w:rsid w:val="00E44100"/>
    <w:rsid w:val="00E90DA7"/>
    <w:rsid w:val="00EC1592"/>
    <w:rsid w:val="00F40C25"/>
    <w:rsid w:val="00F47264"/>
    <w:rsid w:val="00F550EE"/>
    <w:rsid w:val="00F65677"/>
    <w:rsid w:val="00F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696"/>
    <w:pPr>
      <w:spacing w:after="0" w:line="240" w:lineRule="auto"/>
    </w:pPr>
  </w:style>
  <w:style w:type="table" w:styleId="TableGrid">
    <w:name w:val="Table Grid"/>
    <w:basedOn w:val="TableNormal"/>
    <w:uiPriority w:val="59"/>
    <w:rsid w:val="00D2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696"/>
    <w:pPr>
      <w:spacing w:after="0" w:line="240" w:lineRule="auto"/>
    </w:pPr>
  </w:style>
  <w:style w:type="table" w:styleId="TableGrid">
    <w:name w:val="Table Grid"/>
    <w:basedOn w:val="TableNormal"/>
    <w:uiPriority w:val="59"/>
    <w:rsid w:val="00D2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Maritime Academy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Joceline Boucher</dc:creator>
  <cp:lastModifiedBy>Joceline Boucher</cp:lastModifiedBy>
  <cp:revision>12</cp:revision>
  <cp:lastPrinted>2013-05-28T20:55:00Z</cp:lastPrinted>
  <dcterms:created xsi:type="dcterms:W3CDTF">2013-05-24T14:22:00Z</dcterms:created>
  <dcterms:modified xsi:type="dcterms:W3CDTF">2013-06-03T15:46:00Z</dcterms:modified>
</cp:coreProperties>
</file>